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8998" w14:textId="77777777" w:rsidR="00DE45D5" w:rsidRPr="00F11824" w:rsidRDefault="00DE45D5" w:rsidP="00DE45D5">
      <w:pPr>
        <w:jc w:val="center"/>
        <w:rPr>
          <w:rFonts w:ascii="Effra" w:hAnsi="Effra" w:cs="Effra"/>
          <w:sz w:val="52"/>
          <w:szCs w:val="52"/>
        </w:rPr>
      </w:pPr>
      <w:r>
        <w:rPr>
          <w:rFonts w:ascii="Calibri" w:eastAsia="Times New Roman" w:hAnsi="Calibri" w:cs="Arial"/>
          <w:sz w:val="52"/>
          <w:szCs w:val="52"/>
        </w:rPr>
        <w:t>Safe Spaces: Suicide Prevention in Healthcare</w:t>
      </w:r>
    </w:p>
    <w:p w14:paraId="0128684F" w14:textId="7B3C0945" w:rsidR="00DE45D5" w:rsidRPr="00D64DD7" w:rsidRDefault="00DE45D5" w:rsidP="00DE45D5">
      <w:pPr>
        <w:spacing w:after="0"/>
        <w:jc w:val="center"/>
        <w:rPr>
          <w:rFonts w:ascii="Effra" w:hAnsi="Effra" w:cs="Effra"/>
          <w:sz w:val="32"/>
          <w:szCs w:val="32"/>
        </w:rPr>
      </w:pPr>
      <w:r>
        <w:rPr>
          <w:rFonts w:ascii="Effra" w:hAnsi="Effra" w:cs="Effra"/>
          <w:sz w:val="32"/>
          <w:szCs w:val="32"/>
        </w:rPr>
        <w:t xml:space="preserve">Enduring- On Demand Course </w:t>
      </w:r>
    </w:p>
    <w:p w14:paraId="2101637A" w14:textId="30058DAB" w:rsidR="00DE45D5" w:rsidRPr="00D64DD7" w:rsidRDefault="00DE45D5" w:rsidP="004E3793">
      <w:pPr>
        <w:tabs>
          <w:tab w:val="center" w:pos="5400"/>
          <w:tab w:val="left" w:pos="8835"/>
        </w:tabs>
        <w:spacing w:after="0"/>
        <w:rPr>
          <w:rFonts w:ascii="Effra" w:hAnsi="Effra" w:cs="Effra"/>
          <w:sz w:val="32"/>
          <w:szCs w:val="32"/>
        </w:rPr>
      </w:pPr>
      <w:r>
        <w:rPr>
          <w:rFonts w:ascii="Effra" w:hAnsi="Effra" w:cs="Effra"/>
          <w:sz w:val="32"/>
          <w:szCs w:val="32"/>
        </w:rPr>
        <w:t xml:space="preserve"> </w:t>
      </w:r>
    </w:p>
    <w:p w14:paraId="4D51F531" w14:textId="77777777" w:rsidR="00DE45D5" w:rsidRDefault="00DE45D5" w:rsidP="00DE45D5">
      <w:pPr>
        <w:tabs>
          <w:tab w:val="center" w:pos="5400"/>
          <w:tab w:val="left" w:pos="8835"/>
        </w:tabs>
        <w:spacing w:after="120" w:line="240" w:lineRule="auto"/>
        <w:jc w:val="center"/>
        <w:rPr>
          <w:rFonts w:ascii="Effra" w:hAnsi="Effra" w:cs="Effra"/>
          <w:sz w:val="36"/>
          <w:szCs w:val="36"/>
        </w:rPr>
      </w:pPr>
    </w:p>
    <w:p w14:paraId="5C3849A4" w14:textId="43C7FA97" w:rsidR="00DE45D5" w:rsidRPr="00D64DD7" w:rsidRDefault="00DE45D5" w:rsidP="00DE45D5">
      <w:pPr>
        <w:jc w:val="center"/>
        <w:rPr>
          <w:rFonts w:ascii="Effra" w:hAnsi="Effra" w:cs="Effra"/>
          <w:sz w:val="36"/>
          <w:szCs w:val="36"/>
        </w:rPr>
      </w:pPr>
      <w:r w:rsidRPr="00D64DD7">
        <w:rPr>
          <w:rFonts w:ascii="Effra" w:hAnsi="Effra" w:cs="Effra"/>
          <w:sz w:val="36"/>
          <w:szCs w:val="36"/>
        </w:rPr>
        <w:t xml:space="preserve">This </w:t>
      </w:r>
      <w:r>
        <w:rPr>
          <w:rFonts w:ascii="Effra" w:hAnsi="Effra" w:cs="Effra"/>
          <w:sz w:val="36"/>
          <w:szCs w:val="36"/>
        </w:rPr>
        <w:t>complimentary</w:t>
      </w:r>
      <w:r w:rsidR="004E3793">
        <w:rPr>
          <w:rFonts w:ascii="Effra" w:hAnsi="Effra" w:cs="Effra"/>
          <w:sz w:val="36"/>
          <w:szCs w:val="36"/>
        </w:rPr>
        <w:t xml:space="preserve"> on demand</w:t>
      </w:r>
      <w:r w:rsidRPr="00D64DD7">
        <w:rPr>
          <w:rFonts w:ascii="Effra" w:hAnsi="Effra" w:cs="Effra"/>
          <w:sz w:val="36"/>
          <w:szCs w:val="36"/>
        </w:rPr>
        <w:t xml:space="preserve"> activity is provided by </w:t>
      </w:r>
      <w:proofErr w:type="spellStart"/>
      <w:r w:rsidRPr="00D64DD7">
        <w:rPr>
          <w:rFonts w:ascii="Effra" w:hAnsi="Effra" w:cs="Effra"/>
          <w:sz w:val="36"/>
          <w:szCs w:val="36"/>
        </w:rPr>
        <w:t>Viticus</w:t>
      </w:r>
      <w:proofErr w:type="spellEnd"/>
      <w:r w:rsidRPr="00D64DD7">
        <w:rPr>
          <w:rFonts w:ascii="Effra" w:hAnsi="Effra" w:cs="Effra"/>
          <w:sz w:val="36"/>
          <w:szCs w:val="36"/>
        </w:rPr>
        <w:t xml:space="preserve"> Group</w:t>
      </w:r>
      <w:r>
        <w:rPr>
          <w:rFonts w:ascii="Effra" w:hAnsi="Effra" w:cs="Effra"/>
          <w:sz w:val="36"/>
          <w:szCs w:val="36"/>
        </w:rPr>
        <w:t>.</w:t>
      </w:r>
    </w:p>
    <w:p w14:paraId="766E078B" w14:textId="77777777" w:rsidR="00DE45D5" w:rsidRPr="0054551E" w:rsidRDefault="00DE45D5" w:rsidP="00DE45D5">
      <w:pPr>
        <w:spacing w:after="0" w:line="240" w:lineRule="auto"/>
        <w:rPr>
          <w:rFonts w:ascii="Effra" w:hAnsi="Effra" w:cs="Effra"/>
          <w:sz w:val="36"/>
          <w:szCs w:val="36"/>
        </w:rPr>
      </w:pPr>
    </w:p>
    <w:p w14:paraId="76246012" w14:textId="77777777" w:rsidR="00DE45D5" w:rsidRPr="007835E7" w:rsidRDefault="00DE45D5" w:rsidP="00DE45D5">
      <w:pPr>
        <w:rPr>
          <w:rFonts w:ascii="Effra" w:hAnsi="Effra" w:cs="Effra"/>
          <w:b/>
          <w:bCs/>
          <w:sz w:val="36"/>
          <w:szCs w:val="36"/>
          <w:u w:val="single"/>
        </w:rPr>
      </w:pPr>
      <w:r w:rsidRPr="007835E7">
        <w:rPr>
          <w:rFonts w:ascii="Effra" w:hAnsi="Effra" w:cs="Effra"/>
          <w:b/>
          <w:bCs/>
          <w:sz w:val="36"/>
          <w:szCs w:val="36"/>
          <w:u w:val="single"/>
        </w:rPr>
        <w:t>Accreditation Statement</w:t>
      </w:r>
    </w:p>
    <w:p w14:paraId="6C86870D" w14:textId="77777777" w:rsidR="00DE45D5" w:rsidRDefault="00DE45D5" w:rsidP="00DE45D5">
      <w:pPr>
        <w:rPr>
          <w:rFonts w:ascii="Effra" w:hAnsi="Effra" w:cs="Effra"/>
          <w:sz w:val="26"/>
          <w:szCs w:val="26"/>
        </w:rPr>
      </w:pPr>
      <w:proofErr w:type="spellStart"/>
      <w:r w:rsidRPr="007835E7">
        <w:rPr>
          <w:rFonts w:ascii="Effra" w:hAnsi="Effra" w:cs="Effra"/>
          <w:sz w:val="26"/>
          <w:szCs w:val="26"/>
        </w:rPr>
        <w:t>Viticus</w:t>
      </w:r>
      <w:proofErr w:type="spellEnd"/>
      <w:r w:rsidRPr="007835E7">
        <w:rPr>
          <w:rFonts w:ascii="Effra" w:hAnsi="Effra" w:cs="Effra"/>
          <w:sz w:val="26"/>
          <w:szCs w:val="26"/>
        </w:rPr>
        <w:t xml:space="preserve"> Group is accredited by the Accreditation Council for Continuing Medical Education (ACCME) to provide continuing medical education for physicians.</w:t>
      </w:r>
    </w:p>
    <w:p w14:paraId="7FF7E8F1" w14:textId="77777777" w:rsidR="00DE45D5" w:rsidRPr="007835E7" w:rsidRDefault="00DE45D5" w:rsidP="00DE45D5">
      <w:pPr>
        <w:rPr>
          <w:rFonts w:ascii="Effra" w:hAnsi="Effra" w:cs="Effra"/>
          <w:b/>
          <w:bCs/>
          <w:sz w:val="36"/>
          <w:szCs w:val="36"/>
          <w:u w:val="single"/>
        </w:rPr>
      </w:pPr>
      <w:r>
        <w:rPr>
          <w:rFonts w:ascii="Effra" w:hAnsi="Effra" w:cs="Effra"/>
          <w:b/>
          <w:bCs/>
          <w:sz w:val="36"/>
          <w:szCs w:val="36"/>
          <w:u w:val="single"/>
        </w:rPr>
        <w:t>Credit Designation Statement</w:t>
      </w:r>
    </w:p>
    <w:p w14:paraId="64B0630E" w14:textId="77777777" w:rsidR="00DE45D5" w:rsidRPr="00F16D73" w:rsidRDefault="00DE45D5" w:rsidP="00DE45D5">
      <w:pPr>
        <w:tabs>
          <w:tab w:val="left" w:pos="6090"/>
        </w:tabs>
        <w:rPr>
          <w:rFonts w:ascii="Effra" w:hAnsi="Effra" w:cs="Effra"/>
          <w:sz w:val="26"/>
          <w:szCs w:val="26"/>
        </w:rPr>
      </w:pPr>
      <w:proofErr w:type="spellStart"/>
      <w:r w:rsidRPr="00F16D73">
        <w:rPr>
          <w:rFonts w:ascii="Effra" w:hAnsi="Effra"/>
          <w:sz w:val="26"/>
          <w:szCs w:val="26"/>
        </w:rPr>
        <w:t>Viticus</w:t>
      </w:r>
      <w:proofErr w:type="spellEnd"/>
      <w:r w:rsidRPr="00F16D73">
        <w:rPr>
          <w:rFonts w:ascii="Effra" w:hAnsi="Effra"/>
          <w:sz w:val="26"/>
          <w:szCs w:val="26"/>
        </w:rPr>
        <w:t xml:space="preserve"> Group designates this live activity</w:t>
      </w:r>
      <w:r w:rsidRPr="00F16D73">
        <w:rPr>
          <w:rFonts w:ascii="Effra" w:hAnsi="Effra"/>
          <w:i/>
          <w:iCs/>
          <w:sz w:val="26"/>
          <w:szCs w:val="26"/>
        </w:rPr>
        <w:t xml:space="preserve"> </w:t>
      </w:r>
      <w:r w:rsidRPr="00F16D73">
        <w:rPr>
          <w:rFonts w:ascii="Effra" w:hAnsi="Effra"/>
          <w:sz w:val="26"/>
          <w:szCs w:val="26"/>
        </w:rPr>
        <w:t xml:space="preserve">for a maximum of 3.0 </w:t>
      </w:r>
      <w:r w:rsidRPr="00F16D73">
        <w:rPr>
          <w:rFonts w:ascii="Effra" w:hAnsi="Effra"/>
          <w:i/>
          <w:iCs/>
          <w:sz w:val="26"/>
          <w:szCs w:val="26"/>
        </w:rPr>
        <w:t>AMA PRA Category 1 Credits</w:t>
      </w:r>
      <w:r w:rsidRPr="00F16D73">
        <w:rPr>
          <w:rFonts w:ascii="Effra" w:hAnsi="Effra"/>
          <w:sz w:val="26"/>
          <w:szCs w:val="26"/>
        </w:rPr>
        <w:t>™. Physicians should claim only the credit commensurate with the extent of their participation in the activity.</w:t>
      </w:r>
    </w:p>
    <w:p w14:paraId="5DD4F384" w14:textId="77777777" w:rsidR="00DE45D5" w:rsidRDefault="00DE45D5" w:rsidP="00DE45D5">
      <w:pPr>
        <w:tabs>
          <w:tab w:val="left" w:pos="6090"/>
        </w:tabs>
        <w:rPr>
          <w:rFonts w:ascii="Effra" w:hAnsi="Effra" w:cs="Effra"/>
          <w:b/>
          <w:bCs/>
          <w:sz w:val="36"/>
          <w:szCs w:val="36"/>
          <w:u w:val="single"/>
        </w:rPr>
      </w:pPr>
      <w:r w:rsidRPr="007835E7">
        <w:rPr>
          <w:rFonts w:ascii="Effra" w:hAnsi="Effra" w:cs="Effra"/>
          <w:b/>
          <w:bCs/>
          <w:sz w:val="36"/>
          <w:szCs w:val="36"/>
          <w:u w:val="single"/>
        </w:rPr>
        <w:t>Course Description</w:t>
      </w:r>
    </w:p>
    <w:p w14:paraId="4D8EEA37" w14:textId="4469CCDF" w:rsidR="00DE45D5" w:rsidRPr="00441213" w:rsidRDefault="00DE45D5" w:rsidP="00DE45D5">
      <w:pPr>
        <w:tabs>
          <w:tab w:val="left" w:pos="6090"/>
        </w:tabs>
        <w:rPr>
          <w:rFonts w:ascii="Effra" w:hAnsi="Effra" w:cs="Effra"/>
          <w:b/>
          <w:bCs/>
          <w:sz w:val="26"/>
          <w:szCs w:val="26"/>
          <w:u w:val="single"/>
        </w:rPr>
      </w:pPr>
      <w:r w:rsidRPr="00987F17">
        <w:rPr>
          <w:rFonts w:ascii="Effra" w:hAnsi="Effra"/>
          <w:sz w:val="26"/>
          <w:szCs w:val="26"/>
        </w:rPr>
        <w:t>This</w:t>
      </w:r>
      <w:r w:rsidR="004E3793">
        <w:rPr>
          <w:rFonts w:ascii="Effra" w:hAnsi="Effra"/>
          <w:sz w:val="26"/>
          <w:szCs w:val="26"/>
        </w:rPr>
        <w:t xml:space="preserve"> on-demand course</w:t>
      </w:r>
      <w:r w:rsidRPr="00987F17">
        <w:rPr>
          <w:rFonts w:ascii="Effra" w:hAnsi="Effra"/>
          <w:sz w:val="26"/>
          <w:szCs w:val="26"/>
        </w:rPr>
        <w:t xml:space="preserve"> is a comprehensive CME didactic course discussing suicide and suicide prevention among the healthcare team. Experts in the healthcare</w:t>
      </w:r>
      <w:r>
        <w:rPr>
          <w:rFonts w:ascii="Effra" w:hAnsi="Effra"/>
          <w:sz w:val="26"/>
          <w:szCs w:val="26"/>
        </w:rPr>
        <w:t xml:space="preserve"> team will lead a discussion surrounding this important topic. </w:t>
      </w:r>
      <w:r w:rsidRPr="00987F17">
        <w:rPr>
          <w:rFonts w:ascii="Effra" w:hAnsi="Effra"/>
          <w:sz w:val="26"/>
          <w:szCs w:val="26"/>
        </w:rPr>
        <w:t xml:space="preserve">The course is appropriate for physicians, nurse practitioners, physician assistants, nurses, clinical social workers, and other members of the allied health team. Physicians will be able to earn free CME once the course is completed. The course is designed to educate physicians and other allied health members to identify signs, symptoms, and risk factors that are specific to the healthcare team. </w:t>
      </w:r>
      <w:r w:rsidR="004E3793">
        <w:rPr>
          <w:rFonts w:ascii="Effra" w:hAnsi="Effra"/>
          <w:sz w:val="26"/>
          <w:szCs w:val="26"/>
        </w:rPr>
        <w:t>Participants</w:t>
      </w:r>
      <w:r w:rsidRPr="00987F17">
        <w:rPr>
          <w:rFonts w:ascii="Effra" w:hAnsi="Effra"/>
          <w:sz w:val="26"/>
          <w:szCs w:val="26"/>
        </w:rPr>
        <w:t xml:space="preserve"> will be able to explain interventions, resources, and support networks available to healthcare providers. </w:t>
      </w:r>
      <w:r w:rsidR="004E3793">
        <w:rPr>
          <w:rFonts w:ascii="Effra" w:hAnsi="Effra"/>
          <w:sz w:val="26"/>
          <w:szCs w:val="26"/>
        </w:rPr>
        <w:t xml:space="preserve">Participants </w:t>
      </w:r>
      <w:r w:rsidRPr="00987F17">
        <w:rPr>
          <w:rFonts w:ascii="Effra" w:hAnsi="Effra"/>
          <w:sz w:val="26"/>
          <w:szCs w:val="26"/>
        </w:rPr>
        <w:t>will also be able to recognize the impact of</w:t>
      </w:r>
      <w:r>
        <w:rPr>
          <w:rFonts w:ascii="Effra" w:hAnsi="Effra"/>
          <w:sz w:val="26"/>
          <w:szCs w:val="26"/>
        </w:rPr>
        <w:t xml:space="preserve"> the second victim phenomenon and </w:t>
      </w:r>
      <w:r w:rsidRPr="00987F17">
        <w:rPr>
          <w:rFonts w:ascii="Effra" w:hAnsi="Effra"/>
          <w:sz w:val="26"/>
          <w:szCs w:val="26"/>
        </w:rPr>
        <w:t xml:space="preserve">colleague suicide in the healthcare team. </w:t>
      </w:r>
    </w:p>
    <w:p w14:paraId="7EBC22F5" w14:textId="77777777" w:rsidR="00DE45D5" w:rsidRPr="007835E7" w:rsidRDefault="00DE45D5" w:rsidP="00DE45D5">
      <w:pPr>
        <w:tabs>
          <w:tab w:val="left" w:pos="6090"/>
        </w:tabs>
        <w:rPr>
          <w:rFonts w:ascii="Effra" w:hAnsi="Effra" w:cs="Effra"/>
          <w:b/>
          <w:bCs/>
          <w:sz w:val="36"/>
          <w:szCs w:val="36"/>
          <w:u w:val="single"/>
        </w:rPr>
      </w:pPr>
      <w:r w:rsidRPr="007835E7">
        <w:rPr>
          <w:rFonts w:ascii="Effra" w:hAnsi="Effra" w:cs="Effra"/>
          <w:b/>
          <w:bCs/>
          <w:sz w:val="36"/>
          <w:szCs w:val="36"/>
          <w:u w:val="single"/>
        </w:rPr>
        <w:t>Learning Objectives</w:t>
      </w:r>
    </w:p>
    <w:p w14:paraId="12960F30" w14:textId="77777777" w:rsidR="00DE45D5" w:rsidRPr="00441213" w:rsidRDefault="00DE45D5" w:rsidP="00DE45D5">
      <w:pPr>
        <w:pStyle w:val="ListParagraph"/>
        <w:numPr>
          <w:ilvl w:val="0"/>
          <w:numId w:val="1"/>
        </w:numPr>
        <w:spacing w:after="0" w:line="276" w:lineRule="auto"/>
        <w:rPr>
          <w:rFonts w:ascii="Effra" w:eastAsiaTheme="minorHAnsi" w:hAnsi="Effra" w:cstheme="minorBidi"/>
          <w:color w:val="000000" w:themeColor="text1"/>
          <w:sz w:val="26"/>
          <w:szCs w:val="26"/>
        </w:rPr>
      </w:pPr>
      <w:r w:rsidRPr="00441213">
        <w:rPr>
          <w:rFonts w:ascii="Effra" w:hAnsi="Effra"/>
          <w:color w:val="000000" w:themeColor="text1"/>
          <w:sz w:val="26"/>
          <w:szCs w:val="26"/>
        </w:rPr>
        <w:lastRenderedPageBreak/>
        <w:t>Identify signs, symptoms, and risk factors unique to healthcare provider suicide.</w:t>
      </w:r>
    </w:p>
    <w:p w14:paraId="21D1536B" w14:textId="77777777" w:rsidR="00DE45D5" w:rsidRPr="00441213" w:rsidRDefault="00DE45D5" w:rsidP="00DE45D5">
      <w:pPr>
        <w:pStyle w:val="ListParagraph"/>
        <w:numPr>
          <w:ilvl w:val="0"/>
          <w:numId w:val="1"/>
        </w:numPr>
        <w:spacing w:after="0" w:line="240" w:lineRule="auto"/>
        <w:rPr>
          <w:rFonts w:ascii="Effra" w:hAnsi="Effra"/>
          <w:color w:val="000000" w:themeColor="text1"/>
          <w:sz w:val="26"/>
          <w:szCs w:val="26"/>
        </w:rPr>
      </w:pPr>
      <w:r w:rsidRPr="00441213">
        <w:rPr>
          <w:rFonts w:ascii="Effra" w:hAnsi="Effra"/>
          <w:color w:val="000000" w:themeColor="text1"/>
          <w:sz w:val="26"/>
          <w:szCs w:val="26"/>
        </w:rPr>
        <w:t xml:space="preserve">Explain interventions, resources, and support networks specific to healthcare providers.  </w:t>
      </w:r>
    </w:p>
    <w:p w14:paraId="767A0570" w14:textId="77777777" w:rsidR="00DE45D5" w:rsidRPr="00441213" w:rsidRDefault="00DE45D5" w:rsidP="00DE45D5">
      <w:pPr>
        <w:pStyle w:val="ListParagraph"/>
        <w:numPr>
          <w:ilvl w:val="0"/>
          <w:numId w:val="1"/>
        </w:numPr>
        <w:spacing w:after="0" w:line="240" w:lineRule="auto"/>
        <w:rPr>
          <w:rFonts w:ascii="Effra" w:hAnsi="Effra"/>
          <w:color w:val="000000" w:themeColor="text1"/>
          <w:sz w:val="26"/>
          <w:szCs w:val="26"/>
        </w:rPr>
      </w:pPr>
      <w:bookmarkStart w:id="0" w:name="_Hlk132970606"/>
      <w:r w:rsidRPr="00441213">
        <w:rPr>
          <w:rFonts w:ascii="Effra" w:hAnsi="Effra"/>
          <w:color w:val="000000" w:themeColor="text1"/>
          <w:sz w:val="26"/>
          <w:szCs w:val="26"/>
        </w:rPr>
        <w:t>Recognize the impact of colleague suicide</w:t>
      </w:r>
      <w:r>
        <w:rPr>
          <w:rFonts w:ascii="Effra" w:hAnsi="Effra"/>
          <w:color w:val="000000" w:themeColor="text1"/>
          <w:sz w:val="26"/>
          <w:szCs w:val="26"/>
        </w:rPr>
        <w:t xml:space="preserve"> and the impact of adverse events in health care that lead to the second victim phenomenon. </w:t>
      </w:r>
    </w:p>
    <w:bookmarkEnd w:id="0"/>
    <w:p w14:paraId="422F8429" w14:textId="77777777" w:rsidR="00DE45D5" w:rsidRDefault="00DE45D5" w:rsidP="00DE45D5">
      <w:pPr>
        <w:tabs>
          <w:tab w:val="left" w:pos="6090"/>
        </w:tabs>
        <w:rPr>
          <w:rFonts w:ascii="Effra" w:hAnsi="Effra" w:cs="Effra"/>
          <w:sz w:val="36"/>
          <w:szCs w:val="36"/>
        </w:rPr>
      </w:pPr>
    </w:p>
    <w:p w14:paraId="33EDF715" w14:textId="77777777" w:rsidR="00DE45D5" w:rsidRDefault="00DE45D5" w:rsidP="00DE45D5">
      <w:pPr>
        <w:tabs>
          <w:tab w:val="left" w:pos="6090"/>
        </w:tabs>
        <w:rPr>
          <w:rFonts w:ascii="Effra" w:hAnsi="Effra" w:cs="Effra"/>
          <w:b/>
          <w:bCs/>
          <w:sz w:val="36"/>
          <w:szCs w:val="36"/>
          <w:u w:val="single"/>
        </w:rPr>
      </w:pPr>
      <w:r w:rsidRPr="007835E7">
        <w:rPr>
          <w:rFonts w:ascii="Effra" w:hAnsi="Effra" w:cs="Effra"/>
          <w:b/>
          <w:bCs/>
          <w:sz w:val="36"/>
          <w:szCs w:val="36"/>
          <w:u w:val="single"/>
        </w:rPr>
        <w:t>Target Audience</w:t>
      </w:r>
    </w:p>
    <w:p w14:paraId="4B2CA078" w14:textId="77777777" w:rsidR="00DE45D5" w:rsidRPr="00441213" w:rsidRDefault="00DE45D5" w:rsidP="00DE45D5">
      <w:pPr>
        <w:rPr>
          <w:rFonts w:ascii="Effra" w:eastAsiaTheme="minorHAnsi" w:hAnsi="Effra" w:cstheme="minorBidi"/>
          <w:b/>
          <w:bCs/>
          <w:color w:val="000000" w:themeColor="text1"/>
          <w:sz w:val="26"/>
          <w:szCs w:val="26"/>
        </w:rPr>
      </w:pPr>
      <w:r w:rsidRPr="00441213">
        <w:rPr>
          <w:rFonts w:ascii="Effra" w:hAnsi="Effra"/>
          <w:color w:val="000000" w:themeColor="text1"/>
          <w:sz w:val="26"/>
          <w:szCs w:val="26"/>
        </w:rPr>
        <w:t xml:space="preserve">Physicians, nurses, clinical social workers, nurse practitioners and other members of the healthcare teams. </w:t>
      </w:r>
    </w:p>
    <w:p w14:paraId="0A14EC25" w14:textId="77777777" w:rsidR="00DE45D5" w:rsidRPr="007835E7" w:rsidRDefault="00DE45D5" w:rsidP="00DE45D5">
      <w:pPr>
        <w:rPr>
          <w:rFonts w:ascii="Effra" w:hAnsi="Effra" w:cs="Effra"/>
          <w:b/>
          <w:bCs/>
          <w:sz w:val="36"/>
          <w:szCs w:val="36"/>
          <w:u w:val="single"/>
        </w:rPr>
      </w:pPr>
      <w:r w:rsidRPr="007835E7">
        <w:rPr>
          <w:rFonts w:ascii="Effra" w:hAnsi="Effra" w:cs="Effra"/>
          <w:b/>
          <w:bCs/>
          <w:sz w:val="36"/>
          <w:szCs w:val="36"/>
          <w:u w:val="single"/>
        </w:rPr>
        <w:t>Instructions to Receive Credit</w:t>
      </w:r>
    </w:p>
    <w:p w14:paraId="5FB40508" w14:textId="77777777" w:rsidR="00DE45D5" w:rsidRPr="007835E7" w:rsidRDefault="00DE45D5" w:rsidP="00DE45D5">
      <w:pPr>
        <w:rPr>
          <w:rFonts w:ascii="Effra" w:hAnsi="Effra" w:cs="Effra"/>
          <w:sz w:val="26"/>
          <w:szCs w:val="26"/>
        </w:rPr>
      </w:pPr>
      <w:r w:rsidRPr="007835E7">
        <w:rPr>
          <w:rFonts w:ascii="Effra" w:hAnsi="Effra" w:cs="Effra"/>
          <w:sz w:val="26"/>
          <w:szCs w:val="26"/>
        </w:rPr>
        <w:t>Learners are required to complete a</w:t>
      </w:r>
      <w:r>
        <w:rPr>
          <w:rFonts w:ascii="Effra" w:hAnsi="Effra" w:cs="Effra"/>
          <w:sz w:val="26"/>
          <w:szCs w:val="26"/>
        </w:rPr>
        <w:t xml:space="preserve"> </w:t>
      </w:r>
      <w:r w:rsidRPr="007835E7">
        <w:rPr>
          <w:rFonts w:ascii="Effra" w:hAnsi="Effra" w:cs="Effra"/>
          <w:sz w:val="26"/>
          <w:szCs w:val="26"/>
        </w:rPr>
        <w:t>program evaluation</w:t>
      </w:r>
      <w:r>
        <w:rPr>
          <w:rFonts w:ascii="Effra" w:hAnsi="Effra" w:cs="Effra"/>
          <w:sz w:val="26"/>
          <w:szCs w:val="26"/>
        </w:rPr>
        <w:t xml:space="preserve">, pre &amp; posttest, </w:t>
      </w:r>
      <w:r w:rsidRPr="007835E7">
        <w:rPr>
          <w:rFonts w:ascii="Effra" w:hAnsi="Effra" w:cs="Effra"/>
          <w:sz w:val="26"/>
          <w:szCs w:val="26"/>
        </w:rPr>
        <w:t>and application for credit.</w:t>
      </w:r>
      <w:r>
        <w:rPr>
          <w:rFonts w:ascii="Effra" w:hAnsi="Effra" w:cs="Effra"/>
          <w:sz w:val="26"/>
          <w:szCs w:val="26"/>
        </w:rPr>
        <w:t xml:space="preserve"> A 70% passing score on the post-test needs to be achieved before a learner is eligible to claim credit.</w:t>
      </w:r>
      <w:r w:rsidRPr="007835E7">
        <w:rPr>
          <w:rFonts w:ascii="Effra" w:hAnsi="Effra" w:cs="Effra"/>
          <w:sz w:val="26"/>
          <w:szCs w:val="26"/>
        </w:rPr>
        <w:t xml:space="preserve">  Once this evaluation is completed, the learner’s certificate will be available to take with them upon departure.</w:t>
      </w:r>
    </w:p>
    <w:p w14:paraId="1831E996" w14:textId="77777777" w:rsidR="00DE45D5" w:rsidRPr="007835E7" w:rsidRDefault="00DE45D5" w:rsidP="00DE45D5">
      <w:pPr>
        <w:rPr>
          <w:rFonts w:ascii="Effra" w:hAnsi="Effra" w:cs="Effra"/>
          <w:b/>
          <w:bCs/>
          <w:sz w:val="36"/>
          <w:szCs w:val="36"/>
          <w:u w:val="single"/>
        </w:rPr>
      </w:pPr>
      <w:r w:rsidRPr="007835E7">
        <w:rPr>
          <w:rFonts w:ascii="Effra" w:hAnsi="Effra" w:cs="Effra"/>
          <w:b/>
          <w:bCs/>
          <w:sz w:val="36"/>
          <w:szCs w:val="36"/>
          <w:u w:val="single"/>
        </w:rPr>
        <w:t>ADA Compliancy Policy</w:t>
      </w:r>
    </w:p>
    <w:p w14:paraId="4DDAE5A0" w14:textId="77777777" w:rsidR="00DE45D5" w:rsidRPr="007835E7" w:rsidRDefault="00DE45D5" w:rsidP="00DE45D5">
      <w:pPr>
        <w:jc w:val="both"/>
        <w:rPr>
          <w:rFonts w:ascii="Effra" w:hAnsi="Effra" w:cs="Effra"/>
          <w:sz w:val="26"/>
          <w:szCs w:val="26"/>
        </w:rPr>
      </w:pPr>
      <w:proofErr w:type="spellStart"/>
      <w:r w:rsidRPr="007835E7">
        <w:rPr>
          <w:rFonts w:ascii="Effra" w:hAnsi="Effra" w:cs="Effra"/>
          <w:sz w:val="26"/>
          <w:szCs w:val="26"/>
        </w:rPr>
        <w:t>Viticus</w:t>
      </w:r>
      <w:proofErr w:type="spellEnd"/>
      <w:r w:rsidRPr="007835E7">
        <w:rPr>
          <w:rFonts w:ascii="Effra" w:hAnsi="Effra" w:cs="Effra"/>
          <w:sz w:val="26"/>
          <w:szCs w:val="26"/>
        </w:rPr>
        <w:t xml:space="preserve"> Group ensures that the Oquendo Center is appropriate, adequate, and conducive to learning, and meets special needs of participants, per ADA requirements.</w:t>
      </w:r>
    </w:p>
    <w:p w14:paraId="61A80590" w14:textId="77777777" w:rsidR="00DE45D5" w:rsidRPr="007835E7" w:rsidRDefault="00DE45D5" w:rsidP="00DE45D5">
      <w:pPr>
        <w:tabs>
          <w:tab w:val="left" w:pos="2160"/>
        </w:tabs>
        <w:rPr>
          <w:rFonts w:ascii="Effra" w:hAnsi="Effra" w:cs="Effra"/>
          <w:b/>
          <w:bCs/>
          <w:sz w:val="36"/>
          <w:szCs w:val="36"/>
          <w:u w:val="single"/>
        </w:rPr>
      </w:pPr>
      <w:r w:rsidRPr="007835E7">
        <w:rPr>
          <w:rFonts w:ascii="Effra" w:hAnsi="Effra" w:cs="Effra"/>
          <w:b/>
          <w:bCs/>
          <w:sz w:val="36"/>
          <w:szCs w:val="36"/>
          <w:u w:val="single"/>
        </w:rPr>
        <w:t>Cancellation Policy</w:t>
      </w:r>
    </w:p>
    <w:p w14:paraId="05EA485F" w14:textId="77777777" w:rsidR="00DE45D5" w:rsidRPr="007835E7" w:rsidRDefault="00DE45D5" w:rsidP="00DE45D5">
      <w:pPr>
        <w:rPr>
          <w:rFonts w:ascii="Effra" w:hAnsi="Effra" w:cs="Effra"/>
          <w:sz w:val="26"/>
          <w:szCs w:val="26"/>
        </w:rPr>
      </w:pPr>
      <w:proofErr w:type="spellStart"/>
      <w:r w:rsidRPr="007835E7">
        <w:rPr>
          <w:rFonts w:ascii="Effra" w:hAnsi="Effra" w:cs="Effra"/>
          <w:sz w:val="26"/>
          <w:szCs w:val="26"/>
        </w:rPr>
        <w:t>Viticus</w:t>
      </w:r>
      <w:proofErr w:type="spellEnd"/>
      <w:r w:rsidRPr="007835E7">
        <w:rPr>
          <w:rFonts w:ascii="Effra" w:hAnsi="Effra" w:cs="Effra"/>
          <w:sz w:val="26"/>
          <w:szCs w:val="26"/>
        </w:rPr>
        <w:t xml:space="preserve"> Group reserves the right to cancel courses at any time due to inadequate enrollment. Every effort will be made to notify registrants as early as possible of a course cancellation. A full refund of the course registration fee (</w:t>
      </w:r>
      <w:r>
        <w:rPr>
          <w:rFonts w:ascii="Effra" w:hAnsi="Effra" w:cs="Effra"/>
          <w:sz w:val="26"/>
          <w:szCs w:val="26"/>
        </w:rPr>
        <w:t>if applicable</w:t>
      </w:r>
      <w:r w:rsidRPr="007835E7">
        <w:rPr>
          <w:rFonts w:ascii="Effra" w:hAnsi="Effra" w:cs="Effra"/>
          <w:sz w:val="26"/>
          <w:szCs w:val="26"/>
        </w:rPr>
        <w:t>) will be issued to the registrant in a timely manner. All fees and charges for travel and lodging arranged by the registrant are the sole responsibility of the registrant.</w:t>
      </w:r>
    </w:p>
    <w:p w14:paraId="07E71CF0" w14:textId="77777777" w:rsidR="00DE45D5" w:rsidRDefault="00DE45D5" w:rsidP="00DE45D5">
      <w:pPr>
        <w:tabs>
          <w:tab w:val="center" w:pos="5400"/>
          <w:tab w:val="left" w:pos="6720"/>
        </w:tabs>
        <w:rPr>
          <w:rFonts w:ascii="Effra" w:hAnsi="Effra" w:cs="Effra"/>
          <w:sz w:val="26"/>
          <w:szCs w:val="26"/>
        </w:rPr>
      </w:pPr>
      <w:r>
        <w:rPr>
          <w:rFonts w:ascii="Effra" w:hAnsi="Effra" w:cs="Effra"/>
          <w:b/>
          <w:bCs/>
          <w:sz w:val="36"/>
          <w:szCs w:val="36"/>
          <w:u w:val="single"/>
        </w:rPr>
        <w:t>Presentation Materials</w:t>
      </w:r>
    </w:p>
    <w:p w14:paraId="484DCE0C" w14:textId="77777777" w:rsidR="00DE45D5" w:rsidRPr="00C6322A" w:rsidRDefault="00DE45D5" w:rsidP="00DE45D5">
      <w:pPr>
        <w:tabs>
          <w:tab w:val="center" w:pos="5400"/>
          <w:tab w:val="left" w:pos="6720"/>
        </w:tabs>
        <w:rPr>
          <w:rFonts w:ascii="Effra" w:hAnsi="Effra" w:cs="Effra"/>
          <w:sz w:val="26"/>
          <w:szCs w:val="26"/>
        </w:rPr>
      </w:pPr>
      <w:r>
        <w:rPr>
          <w:rFonts w:ascii="Effra" w:hAnsi="Effra" w:cs="Effra"/>
          <w:sz w:val="26"/>
          <w:szCs w:val="26"/>
        </w:rPr>
        <w:t xml:space="preserve">When presentation materials become available from the instructors, </w:t>
      </w:r>
      <w:proofErr w:type="spellStart"/>
      <w:r>
        <w:rPr>
          <w:rFonts w:ascii="Effra" w:hAnsi="Effra" w:cs="Effra"/>
          <w:sz w:val="26"/>
          <w:szCs w:val="26"/>
        </w:rPr>
        <w:t>Viticus</w:t>
      </w:r>
      <w:proofErr w:type="spellEnd"/>
      <w:r>
        <w:rPr>
          <w:rFonts w:ascii="Effra" w:hAnsi="Effra" w:cs="Effra"/>
          <w:sz w:val="26"/>
          <w:szCs w:val="26"/>
        </w:rPr>
        <w:t xml:space="preserve"> Group will share with the learners accordingly.</w:t>
      </w:r>
    </w:p>
    <w:p w14:paraId="6BE6784D" w14:textId="77777777" w:rsidR="00DE45D5" w:rsidRPr="00C6322A" w:rsidRDefault="00DE45D5" w:rsidP="004E3793">
      <w:pPr>
        <w:tabs>
          <w:tab w:val="center" w:pos="5400"/>
          <w:tab w:val="left" w:pos="6720"/>
        </w:tabs>
        <w:jc w:val="center"/>
        <w:rPr>
          <w:rFonts w:ascii="Effra" w:hAnsi="Effra" w:cs="Effra"/>
          <w:b/>
          <w:bCs/>
          <w:sz w:val="36"/>
          <w:szCs w:val="36"/>
          <w:u w:val="single"/>
        </w:rPr>
      </w:pPr>
      <w:r w:rsidRPr="007835E7">
        <w:rPr>
          <w:rFonts w:ascii="Effra" w:hAnsi="Effra" w:cs="Effra"/>
          <w:b/>
          <w:bCs/>
          <w:sz w:val="36"/>
          <w:szCs w:val="36"/>
          <w:u w:val="single"/>
        </w:rPr>
        <w:lastRenderedPageBreak/>
        <w:t>Agenda</w:t>
      </w:r>
    </w:p>
    <w:tbl>
      <w:tblPr>
        <w:tblW w:w="4340" w:type="pct"/>
        <w:tblInd w:w="715" w:type="dxa"/>
        <w:tblLook w:val="04A0" w:firstRow="1" w:lastRow="0" w:firstColumn="1" w:lastColumn="0" w:noHBand="0" w:noVBand="1"/>
      </w:tblPr>
      <w:tblGrid>
        <w:gridCol w:w="9366"/>
      </w:tblGrid>
      <w:tr w:rsidR="004E3793" w:rsidRPr="008F5AE0" w14:paraId="1943F5CC" w14:textId="77777777" w:rsidTr="004E3793">
        <w:trPr>
          <w:trHeight w:val="518"/>
        </w:trPr>
        <w:tc>
          <w:tcPr>
            <w:tcW w:w="5000" w:type="pct"/>
            <w:tcBorders>
              <w:top w:val="single" w:sz="4" w:space="0" w:color="auto"/>
              <w:left w:val="single" w:sz="4" w:space="0" w:color="000000" w:themeColor="text1"/>
              <w:bottom w:val="single" w:sz="4" w:space="0" w:color="auto"/>
              <w:right w:val="single" w:sz="4" w:space="0" w:color="auto"/>
            </w:tcBorders>
            <w:shd w:val="clear" w:color="auto" w:fill="auto"/>
            <w:vAlign w:val="bottom"/>
            <w:hideMark/>
          </w:tcPr>
          <w:p w14:paraId="7A3D35C0" w14:textId="54E43A32" w:rsidR="004E3793" w:rsidRPr="004E3793" w:rsidRDefault="004E3793" w:rsidP="00621AC4">
            <w:pPr>
              <w:spacing w:line="276" w:lineRule="auto"/>
              <w:jc w:val="center"/>
              <w:rPr>
                <w:rFonts w:ascii="Calibri" w:eastAsia="Times New Roman" w:hAnsi="Calibri" w:cs="Calibri"/>
                <w:b/>
                <w:bCs/>
              </w:rPr>
            </w:pPr>
            <w:r w:rsidRPr="004E3793">
              <w:rPr>
                <w:rFonts w:ascii="Calibri" w:eastAsia="Times New Roman" w:hAnsi="Calibri" w:cs="Calibri"/>
                <w:b/>
                <w:bCs/>
              </w:rPr>
              <w:t xml:space="preserve">On-Demand Activity </w:t>
            </w:r>
          </w:p>
        </w:tc>
      </w:tr>
      <w:tr w:rsidR="004E3793" w:rsidRPr="004E0B22" w14:paraId="60608C7C" w14:textId="77777777" w:rsidTr="004E3793">
        <w:trPr>
          <w:trHeight w:val="51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E9897" w14:textId="77777777" w:rsidR="004E3793" w:rsidRPr="004E3793" w:rsidRDefault="004E3793" w:rsidP="00621AC4">
            <w:pPr>
              <w:spacing w:line="276" w:lineRule="auto"/>
              <w:jc w:val="center"/>
              <w:rPr>
                <w:rFonts w:asciiTheme="minorHAnsi" w:eastAsia="Times New Roman" w:hAnsiTheme="minorHAnsi" w:cstheme="minorHAnsi"/>
              </w:rPr>
            </w:pPr>
            <w:r w:rsidRPr="004E3793">
              <w:rPr>
                <w:rFonts w:asciiTheme="minorHAnsi" w:eastAsia="Times New Roman" w:hAnsiTheme="minorHAnsi" w:cstheme="minorHAnsi"/>
              </w:rPr>
              <w:t>Talk Saves Lives</w:t>
            </w:r>
          </w:p>
          <w:p w14:paraId="49D0BC36" w14:textId="77777777" w:rsidR="004E3793" w:rsidRPr="004E3793" w:rsidRDefault="004E3793" w:rsidP="00621AC4">
            <w:pPr>
              <w:spacing w:line="276" w:lineRule="auto"/>
              <w:jc w:val="center"/>
              <w:rPr>
                <w:rFonts w:asciiTheme="minorHAnsi" w:eastAsia="Times New Roman" w:hAnsiTheme="minorHAnsi" w:cstheme="minorHAnsi"/>
              </w:rPr>
            </w:pPr>
            <w:r w:rsidRPr="004E3793">
              <w:rPr>
                <w:rFonts w:asciiTheme="minorHAnsi" w:eastAsia="Times New Roman" w:hAnsiTheme="minorHAnsi" w:cstheme="minorHAnsi"/>
              </w:rPr>
              <w:t>Troy Repuszka, MSN, RN, LNC</w:t>
            </w:r>
          </w:p>
          <w:p w14:paraId="67D1380F" w14:textId="364CD401" w:rsidR="004E3793" w:rsidRPr="004E3793" w:rsidRDefault="004E3793" w:rsidP="00621AC4">
            <w:pPr>
              <w:spacing w:line="276" w:lineRule="auto"/>
              <w:jc w:val="center"/>
              <w:rPr>
                <w:rFonts w:asciiTheme="minorHAnsi" w:hAnsiTheme="minorHAnsi" w:cstheme="minorHAnsi"/>
              </w:rPr>
            </w:pPr>
            <w:r w:rsidRPr="004E3793">
              <w:rPr>
                <w:rFonts w:asciiTheme="minorHAnsi" w:hAnsiTheme="minorHAnsi" w:cstheme="minorHAnsi"/>
              </w:rPr>
              <w:t xml:space="preserve">Teachable Course </w:t>
            </w:r>
          </w:p>
        </w:tc>
      </w:tr>
      <w:tr w:rsidR="004E3793" w:rsidRPr="004E0B22" w14:paraId="5D240D8D" w14:textId="77777777" w:rsidTr="004E3793">
        <w:trPr>
          <w:trHeight w:val="518"/>
        </w:trPr>
        <w:tc>
          <w:tcPr>
            <w:tcW w:w="5000" w:type="pct"/>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0B3F484A" w14:textId="77777777" w:rsidR="004E3793" w:rsidRPr="004E3793" w:rsidRDefault="004E3793" w:rsidP="00621AC4">
            <w:pPr>
              <w:spacing w:line="276" w:lineRule="auto"/>
              <w:jc w:val="center"/>
              <w:rPr>
                <w:rFonts w:asciiTheme="minorHAnsi" w:eastAsia="Times New Roman" w:hAnsiTheme="minorHAnsi" w:cstheme="minorHAnsi"/>
              </w:rPr>
            </w:pPr>
            <w:r w:rsidRPr="004E3793">
              <w:rPr>
                <w:rFonts w:asciiTheme="minorHAnsi" w:eastAsia="Times New Roman" w:hAnsiTheme="minorHAnsi" w:cstheme="minorHAnsi"/>
              </w:rPr>
              <w:t>Psychiatric Aspects of Suicide: Suicide in the Healthcare Professional</w:t>
            </w:r>
          </w:p>
          <w:p w14:paraId="15C4FBA7" w14:textId="77777777" w:rsidR="004E3793" w:rsidRPr="004E3793" w:rsidRDefault="004E3793" w:rsidP="00621AC4">
            <w:pPr>
              <w:spacing w:line="276" w:lineRule="auto"/>
              <w:jc w:val="center"/>
              <w:rPr>
                <w:rFonts w:asciiTheme="minorHAnsi" w:eastAsia="Times New Roman" w:hAnsiTheme="minorHAnsi" w:cstheme="minorHAnsi"/>
              </w:rPr>
            </w:pPr>
            <w:r w:rsidRPr="004E3793">
              <w:rPr>
                <w:rFonts w:asciiTheme="minorHAnsi" w:eastAsia="Times New Roman" w:hAnsiTheme="minorHAnsi" w:cstheme="minorHAnsi"/>
              </w:rPr>
              <w:t>Hilary Massey, MD</w:t>
            </w:r>
          </w:p>
          <w:p w14:paraId="40F6F50F" w14:textId="08B513D4" w:rsidR="004E3793" w:rsidRPr="004E3793" w:rsidRDefault="004E3793" w:rsidP="00621AC4">
            <w:pPr>
              <w:spacing w:line="276" w:lineRule="auto"/>
              <w:jc w:val="center"/>
              <w:rPr>
                <w:rFonts w:asciiTheme="minorHAnsi" w:eastAsia="Times New Roman" w:hAnsiTheme="minorHAnsi" w:cstheme="minorHAnsi"/>
              </w:rPr>
            </w:pPr>
            <w:r w:rsidRPr="004E3793">
              <w:rPr>
                <w:rFonts w:asciiTheme="minorHAnsi" w:hAnsiTheme="minorHAnsi" w:cstheme="minorHAnsi"/>
              </w:rPr>
              <w:t>Teachable Course</w:t>
            </w:r>
          </w:p>
        </w:tc>
      </w:tr>
      <w:tr w:rsidR="004E3793" w:rsidRPr="004E0B22" w14:paraId="28D28689" w14:textId="77777777" w:rsidTr="004E3793">
        <w:trPr>
          <w:trHeight w:val="518"/>
        </w:trPr>
        <w:tc>
          <w:tcPr>
            <w:tcW w:w="5000" w:type="pct"/>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7309818F" w14:textId="77777777" w:rsidR="004E3793" w:rsidRPr="004E3793" w:rsidRDefault="004E3793" w:rsidP="00621AC4">
            <w:pPr>
              <w:spacing w:line="276" w:lineRule="auto"/>
              <w:jc w:val="center"/>
              <w:rPr>
                <w:rFonts w:asciiTheme="minorHAnsi" w:eastAsia="Times New Roman" w:hAnsiTheme="minorHAnsi" w:cstheme="minorHAnsi"/>
              </w:rPr>
            </w:pPr>
            <w:r w:rsidRPr="004E3793">
              <w:rPr>
                <w:rFonts w:asciiTheme="minorHAnsi" w:eastAsia="Times New Roman" w:hAnsiTheme="minorHAnsi" w:cstheme="minorHAnsi"/>
              </w:rPr>
              <w:t>Break/Refreshments</w:t>
            </w:r>
          </w:p>
          <w:p w14:paraId="4EBC4C93" w14:textId="30890473" w:rsidR="004E3793" w:rsidRPr="004E3793" w:rsidRDefault="004E3793" w:rsidP="00621AC4">
            <w:pPr>
              <w:spacing w:line="276" w:lineRule="auto"/>
              <w:jc w:val="center"/>
              <w:rPr>
                <w:rFonts w:asciiTheme="minorHAnsi" w:eastAsia="Times New Roman" w:hAnsiTheme="minorHAnsi" w:cstheme="minorHAnsi"/>
              </w:rPr>
            </w:pPr>
            <w:r w:rsidRPr="004E3793">
              <w:rPr>
                <w:rFonts w:asciiTheme="minorHAnsi" w:hAnsiTheme="minorHAnsi" w:cstheme="minorHAnsi"/>
              </w:rPr>
              <w:t>Teachable Course</w:t>
            </w:r>
          </w:p>
        </w:tc>
      </w:tr>
      <w:tr w:rsidR="004E3793" w:rsidRPr="004E0B22" w14:paraId="2BDFD7CE" w14:textId="77777777" w:rsidTr="004E3793">
        <w:trPr>
          <w:trHeight w:val="518"/>
        </w:trPr>
        <w:tc>
          <w:tcPr>
            <w:tcW w:w="5000" w:type="pct"/>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5AECF2FF" w14:textId="77777777" w:rsidR="004E3793" w:rsidRPr="004E3793" w:rsidRDefault="004E3793" w:rsidP="00621AC4">
            <w:pPr>
              <w:spacing w:line="276" w:lineRule="auto"/>
              <w:jc w:val="center"/>
              <w:rPr>
                <w:rFonts w:asciiTheme="minorHAnsi" w:eastAsia="Times New Roman" w:hAnsiTheme="minorHAnsi" w:cstheme="minorHAnsi"/>
              </w:rPr>
            </w:pPr>
            <w:r w:rsidRPr="004E3793">
              <w:rPr>
                <w:rFonts w:asciiTheme="minorHAnsi" w:eastAsia="Times New Roman" w:hAnsiTheme="minorHAnsi" w:cstheme="minorHAnsi"/>
              </w:rPr>
              <w:t>Navigating the Impact of Adverse Events</w:t>
            </w:r>
          </w:p>
          <w:p w14:paraId="4F32F6F4" w14:textId="77777777" w:rsidR="004E3793" w:rsidRPr="004E3793" w:rsidRDefault="004E3793" w:rsidP="00621AC4">
            <w:pPr>
              <w:spacing w:line="276" w:lineRule="auto"/>
              <w:jc w:val="center"/>
              <w:rPr>
                <w:rFonts w:asciiTheme="minorHAnsi" w:eastAsia="Times New Roman" w:hAnsiTheme="minorHAnsi" w:cstheme="minorHAnsi"/>
              </w:rPr>
            </w:pPr>
            <w:r w:rsidRPr="004E3793">
              <w:rPr>
                <w:rFonts w:asciiTheme="minorHAnsi" w:eastAsia="Times New Roman" w:hAnsiTheme="minorHAnsi" w:cstheme="minorHAnsi"/>
              </w:rPr>
              <w:t xml:space="preserve">Matt Norvell, </w:t>
            </w:r>
            <w:proofErr w:type="spellStart"/>
            <w:r w:rsidRPr="004E3793">
              <w:rPr>
                <w:rFonts w:asciiTheme="minorHAnsi" w:eastAsia="Times New Roman" w:hAnsiTheme="minorHAnsi" w:cstheme="minorHAnsi"/>
              </w:rPr>
              <w:t>DMin</w:t>
            </w:r>
            <w:proofErr w:type="spellEnd"/>
            <w:r w:rsidRPr="004E3793">
              <w:rPr>
                <w:rFonts w:asciiTheme="minorHAnsi" w:eastAsia="Times New Roman" w:hAnsiTheme="minorHAnsi" w:cstheme="minorHAnsi"/>
              </w:rPr>
              <w:t>., M.S., B.C.C.</w:t>
            </w:r>
          </w:p>
          <w:p w14:paraId="7138D211" w14:textId="2B64E7D3" w:rsidR="004E3793" w:rsidRPr="004E3793" w:rsidRDefault="004E3793" w:rsidP="00621AC4">
            <w:pPr>
              <w:spacing w:line="276" w:lineRule="auto"/>
              <w:jc w:val="center"/>
              <w:rPr>
                <w:rFonts w:asciiTheme="minorHAnsi" w:eastAsia="Times New Roman" w:hAnsiTheme="minorHAnsi" w:cstheme="minorHAnsi"/>
              </w:rPr>
            </w:pPr>
            <w:r w:rsidRPr="004E3793">
              <w:rPr>
                <w:rFonts w:asciiTheme="minorHAnsi" w:hAnsiTheme="minorHAnsi" w:cstheme="minorHAnsi"/>
              </w:rPr>
              <w:t>Teachable Course</w:t>
            </w:r>
          </w:p>
        </w:tc>
      </w:tr>
      <w:tr w:rsidR="004E3793" w:rsidRPr="004E0B22" w14:paraId="1A7BF74F" w14:textId="77777777" w:rsidTr="004E3793">
        <w:trPr>
          <w:trHeight w:val="518"/>
        </w:trPr>
        <w:tc>
          <w:tcPr>
            <w:tcW w:w="5000" w:type="pct"/>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78B445CD" w14:textId="77777777" w:rsidR="004E3793" w:rsidRPr="004E3793" w:rsidRDefault="004E3793" w:rsidP="004E3793">
            <w:pPr>
              <w:spacing w:line="276" w:lineRule="auto"/>
              <w:jc w:val="center"/>
              <w:rPr>
                <w:rFonts w:asciiTheme="minorHAnsi" w:eastAsia="Times New Roman" w:hAnsiTheme="minorHAnsi" w:cstheme="minorHAnsi"/>
              </w:rPr>
            </w:pPr>
            <w:r w:rsidRPr="004E3793">
              <w:rPr>
                <w:rFonts w:asciiTheme="minorHAnsi" w:eastAsia="Times New Roman" w:hAnsiTheme="minorHAnsi" w:cstheme="minorHAnsi"/>
              </w:rPr>
              <w:t>Q &amp; A Panel</w:t>
            </w:r>
          </w:p>
          <w:p w14:paraId="6A31FB20" w14:textId="36E6D4FD" w:rsidR="004E3793" w:rsidRPr="004E3793" w:rsidRDefault="004E3793" w:rsidP="004E3793">
            <w:pPr>
              <w:spacing w:line="276" w:lineRule="auto"/>
              <w:jc w:val="center"/>
              <w:rPr>
                <w:rFonts w:asciiTheme="minorHAnsi" w:eastAsia="Times New Roman" w:hAnsiTheme="minorHAnsi" w:cstheme="minorHAnsi"/>
              </w:rPr>
            </w:pPr>
            <w:r w:rsidRPr="004E3793">
              <w:rPr>
                <w:rFonts w:asciiTheme="minorHAnsi" w:hAnsiTheme="minorHAnsi" w:cstheme="minorHAnsi"/>
              </w:rPr>
              <w:t>Teachable Course</w:t>
            </w:r>
          </w:p>
        </w:tc>
      </w:tr>
    </w:tbl>
    <w:p w14:paraId="20CB4EC5" w14:textId="77777777" w:rsidR="00DE45D5" w:rsidRDefault="00DE45D5" w:rsidP="00DE45D5">
      <w:pPr>
        <w:rPr>
          <w:rFonts w:ascii="Effra" w:hAnsi="Effra" w:cs="Effra"/>
          <w:b/>
          <w:bCs/>
          <w:sz w:val="36"/>
          <w:szCs w:val="36"/>
          <w:u w:val="single"/>
        </w:rPr>
      </w:pPr>
    </w:p>
    <w:p w14:paraId="32999078" w14:textId="77777777" w:rsidR="00DE45D5" w:rsidRDefault="00DE45D5" w:rsidP="00DE45D5">
      <w:pPr>
        <w:rPr>
          <w:rFonts w:ascii="Effra" w:hAnsi="Effra" w:cs="Effra"/>
          <w:b/>
          <w:bCs/>
          <w:sz w:val="36"/>
          <w:szCs w:val="36"/>
          <w:u w:val="single"/>
        </w:rPr>
      </w:pPr>
    </w:p>
    <w:p w14:paraId="48480836" w14:textId="77777777" w:rsidR="00DE45D5" w:rsidRDefault="00DE45D5" w:rsidP="00DE45D5">
      <w:pPr>
        <w:rPr>
          <w:rFonts w:ascii="Effra" w:hAnsi="Effra" w:cs="Effra"/>
          <w:b/>
          <w:bCs/>
          <w:sz w:val="36"/>
          <w:szCs w:val="36"/>
          <w:u w:val="single"/>
        </w:rPr>
      </w:pPr>
    </w:p>
    <w:p w14:paraId="0E6FD770" w14:textId="77777777" w:rsidR="00DE45D5" w:rsidRPr="007835E7" w:rsidRDefault="00DE45D5" w:rsidP="00DE45D5">
      <w:pPr>
        <w:rPr>
          <w:rFonts w:ascii="Effra" w:hAnsi="Effra" w:cs="Effra"/>
          <w:b/>
          <w:bCs/>
          <w:sz w:val="36"/>
          <w:szCs w:val="36"/>
          <w:u w:val="single"/>
        </w:rPr>
      </w:pPr>
      <w:r w:rsidRPr="007835E7">
        <w:rPr>
          <w:rFonts w:ascii="Effra" w:hAnsi="Effra" w:cs="Effra"/>
          <w:b/>
          <w:bCs/>
          <w:sz w:val="36"/>
          <w:szCs w:val="36"/>
          <w:u w:val="single"/>
        </w:rPr>
        <w:t>Instructors/Faculty/Content Reviewer/Staff</w:t>
      </w:r>
      <w:r>
        <w:rPr>
          <w:rFonts w:ascii="Effra" w:hAnsi="Effra" w:cs="Effra"/>
          <w:b/>
          <w:bCs/>
          <w:sz w:val="36"/>
          <w:szCs w:val="36"/>
          <w:u w:val="single"/>
        </w:rPr>
        <w:t>/Planner</w:t>
      </w:r>
    </w:p>
    <w:p w14:paraId="73A892AA" w14:textId="77777777" w:rsidR="00DE45D5" w:rsidRPr="007835E7" w:rsidRDefault="00DE45D5" w:rsidP="00DE45D5">
      <w:pPr>
        <w:contextualSpacing/>
        <w:rPr>
          <w:rFonts w:ascii="Effra" w:hAnsi="Effra" w:cs="Effra"/>
          <w:sz w:val="26"/>
          <w:szCs w:val="26"/>
        </w:rPr>
      </w:pPr>
      <w:r>
        <w:rPr>
          <w:rFonts w:ascii="Effra" w:hAnsi="Effra" w:cs="Effra"/>
          <w:sz w:val="26"/>
          <w:szCs w:val="26"/>
        </w:rPr>
        <w:t>Troy Repuszka</w:t>
      </w:r>
      <w:r w:rsidRPr="007835E7">
        <w:rPr>
          <w:rFonts w:ascii="Effra" w:hAnsi="Effra" w:cs="Effra"/>
          <w:sz w:val="26"/>
          <w:szCs w:val="26"/>
        </w:rPr>
        <w:t xml:space="preserve">, </w:t>
      </w:r>
      <w:r>
        <w:rPr>
          <w:rFonts w:ascii="Effra" w:hAnsi="Effra" w:cs="Effra"/>
          <w:sz w:val="26"/>
          <w:szCs w:val="26"/>
        </w:rPr>
        <w:t xml:space="preserve">MSN, RN, LNC </w:t>
      </w:r>
      <w:r w:rsidRPr="007835E7">
        <w:rPr>
          <w:rFonts w:ascii="Effra" w:hAnsi="Effra" w:cs="Effra"/>
          <w:sz w:val="26"/>
          <w:szCs w:val="26"/>
        </w:rPr>
        <w:t>– Instructor</w:t>
      </w:r>
      <w:r>
        <w:rPr>
          <w:rFonts w:ascii="Effra" w:hAnsi="Effra" w:cs="Effra"/>
          <w:sz w:val="26"/>
          <w:szCs w:val="26"/>
        </w:rPr>
        <w:t>/Planner</w:t>
      </w:r>
    </w:p>
    <w:p w14:paraId="250F7FB1" w14:textId="77777777" w:rsidR="00DE45D5" w:rsidRPr="007835E7" w:rsidRDefault="00DE45D5" w:rsidP="00DE45D5">
      <w:pPr>
        <w:ind w:left="720"/>
        <w:rPr>
          <w:rFonts w:ascii="Effra" w:hAnsi="Effra" w:cs="Effra"/>
          <w:sz w:val="26"/>
          <w:szCs w:val="26"/>
        </w:rPr>
      </w:pPr>
      <w:r>
        <w:rPr>
          <w:rFonts w:ascii="Effra" w:hAnsi="Effra" w:cs="Effra"/>
          <w:sz w:val="26"/>
          <w:szCs w:val="26"/>
        </w:rPr>
        <w:t xml:space="preserve">Troy has is an experienced nurse with an extensive background working in the emergency department at Sunrise Hospital. She has experience working ranging from clinical nursing </w:t>
      </w:r>
      <w:r>
        <w:rPr>
          <w:rFonts w:ascii="Effra" w:hAnsi="Effra" w:cs="Effra"/>
          <w:sz w:val="26"/>
          <w:szCs w:val="26"/>
        </w:rPr>
        <w:lastRenderedPageBreak/>
        <w:t xml:space="preserve">to nursing management and regulatory compliance. Troy has been volunteering with the American Foundation for Suicide Prevention since 2022. </w:t>
      </w:r>
    </w:p>
    <w:p w14:paraId="5EA26D8F" w14:textId="77777777" w:rsidR="00DE45D5" w:rsidRPr="007835E7" w:rsidRDefault="00DE45D5" w:rsidP="00DE45D5">
      <w:pPr>
        <w:contextualSpacing/>
        <w:rPr>
          <w:rFonts w:ascii="Effra" w:hAnsi="Effra" w:cs="Effra"/>
          <w:sz w:val="26"/>
          <w:szCs w:val="26"/>
        </w:rPr>
      </w:pPr>
      <w:r>
        <w:rPr>
          <w:rFonts w:ascii="Effra" w:hAnsi="Effra" w:cs="Effra"/>
          <w:sz w:val="26"/>
          <w:szCs w:val="26"/>
        </w:rPr>
        <w:t>Hilary Massey</w:t>
      </w:r>
      <w:r w:rsidRPr="007835E7">
        <w:rPr>
          <w:rFonts w:ascii="Effra" w:hAnsi="Effra" w:cs="Effra"/>
          <w:sz w:val="26"/>
          <w:szCs w:val="26"/>
        </w:rPr>
        <w:t>, MD – Instructor</w:t>
      </w:r>
    </w:p>
    <w:p w14:paraId="1851F300" w14:textId="77777777" w:rsidR="00DE45D5" w:rsidRPr="007835E7" w:rsidRDefault="00DE45D5" w:rsidP="00DE45D5">
      <w:pPr>
        <w:ind w:left="720"/>
        <w:rPr>
          <w:rFonts w:ascii="Effra" w:hAnsi="Effra" w:cs="Effra"/>
          <w:sz w:val="26"/>
          <w:szCs w:val="26"/>
        </w:rPr>
      </w:pPr>
      <w:r w:rsidRPr="007835E7">
        <w:rPr>
          <w:rFonts w:ascii="Effra" w:hAnsi="Effra" w:cs="Effra"/>
          <w:sz w:val="26"/>
          <w:szCs w:val="26"/>
        </w:rPr>
        <w:t>A board-certified</w:t>
      </w:r>
      <w:r>
        <w:rPr>
          <w:rFonts w:ascii="Effra" w:hAnsi="Effra" w:cs="Effra"/>
          <w:sz w:val="26"/>
          <w:szCs w:val="26"/>
        </w:rPr>
        <w:t xml:space="preserve"> psychiatrist and assistant professor of psychiatry and behavioral health for the Kirk Kerkorian School of Medicine at UNLV. She is also the current associate residency program director for the psychiatry residency.  </w:t>
      </w:r>
    </w:p>
    <w:p w14:paraId="1AE3F7A2" w14:textId="77777777" w:rsidR="00DE45D5" w:rsidRDefault="00DE45D5" w:rsidP="00DE45D5">
      <w:pPr>
        <w:rPr>
          <w:rFonts w:ascii="Effra" w:hAnsi="Effra" w:cs="Effra"/>
          <w:sz w:val="26"/>
          <w:szCs w:val="26"/>
        </w:rPr>
      </w:pPr>
      <w:r>
        <w:rPr>
          <w:rFonts w:ascii="Effra" w:hAnsi="Effra" w:cs="Effra"/>
          <w:sz w:val="26"/>
          <w:szCs w:val="26"/>
        </w:rPr>
        <w:t xml:space="preserve">Matt Norvell, </w:t>
      </w:r>
      <w:proofErr w:type="spellStart"/>
      <w:r>
        <w:rPr>
          <w:rFonts w:ascii="Effra" w:hAnsi="Effra" w:cs="Effra"/>
          <w:sz w:val="26"/>
          <w:szCs w:val="26"/>
        </w:rPr>
        <w:t>DMin</w:t>
      </w:r>
      <w:proofErr w:type="spellEnd"/>
      <w:r>
        <w:rPr>
          <w:rFonts w:ascii="Effra" w:hAnsi="Effra" w:cs="Effra"/>
          <w:sz w:val="26"/>
          <w:szCs w:val="26"/>
        </w:rPr>
        <w:t xml:space="preserve">., M.S, B. C.C. </w:t>
      </w:r>
      <w:r w:rsidRPr="007835E7">
        <w:rPr>
          <w:rFonts w:ascii="Effra" w:hAnsi="Effra" w:cs="Effra"/>
          <w:sz w:val="26"/>
          <w:szCs w:val="26"/>
        </w:rPr>
        <w:t xml:space="preserve">– </w:t>
      </w:r>
      <w:r>
        <w:rPr>
          <w:rFonts w:ascii="Effra" w:hAnsi="Effra" w:cs="Effra"/>
          <w:sz w:val="26"/>
          <w:szCs w:val="26"/>
        </w:rPr>
        <w:t>Instructor</w:t>
      </w:r>
    </w:p>
    <w:p w14:paraId="369FB0E8" w14:textId="77777777" w:rsidR="00DE45D5" w:rsidRDefault="00DE45D5" w:rsidP="00DE45D5">
      <w:pPr>
        <w:ind w:left="720"/>
        <w:rPr>
          <w:rFonts w:ascii="Effra" w:hAnsi="Effra" w:cs="Effra"/>
          <w:sz w:val="26"/>
          <w:szCs w:val="26"/>
        </w:rPr>
      </w:pPr>
      <w:r>
        <w:rPr>
          <w:rFonts w:ascii="Effra" w:hAnsi="Effra" w:cs="Effra"/>
          <w:sz w:val="26"/>
          <w:szCs w:val="26"/>
        </w:rPr>
        <w:t xml:space="preserve">Rev. Matt Norvell is a Pediatric Chaplain and Clinical Manager in the Department of Spiritual Care at Johns Hopkins Hospital. He is a board-certified chaplain through the association of Professional Chaplains and is a certified counselor through the National Board of Counselors. Matt Currently serves on the pediatric palliative care team. Matt also provides leadership support for the John Hopkins Hospital RISE (Resilience in Stressful Events) team which provides trained peer support for employees who encounter stressful, patient related events. </w:t>
      </w:r>
    </w:p>
    <w:p w14:paraId="275290D2" w14:textId="77777777" w:rsidR="00DE45D5" w:rsidRPr="007835E7" w:rsidRDefault="00DE45D5" w:rsidP="00DE45D5">
      <w:pPr>
        <w:rPr>
          <w:rFonts w:ascii="Effra" w:hAnsi="Effra" w:cs="Effra"/>
          <w:sz w:val="26"/>
          <w:szCs w:val="26"/>
        </w:rPr>
      </w:pPr>
      <w:r>
        <w:rPr>
          <w:rFonts w:ascii="Effra" w:hAnsi="Effra" w:cs="Effra"/>
          <w:sz w:val="26"/>
          <w:szCs w:val="26"/>
        </w:rPr>
        <w:tab/>
      </w:r>
    </w:p>
    <w:p w14:paraId="258A8848" w14:textId="77777777" w:rsidR="00DE45D5" w:rsidRPr="007835E7" w:rsidRDefault="00DE45D5" w:rsidP="00DE45D5">
      <w:pPr>
        <w:rPr>
          <w:rFonts w:ascii="Effra" w:hAnsi="Effra" w:cs="Effra"/>
          <w:sz w:val="26"/>
          <w:szCs w:val="26"/>
        </w:rPr>
      </w:pPr>
      <w:r w:rsidRPr="007835E7">
        <w:rPr>
          <w:rFonts w:ascii="Effra" w:hAnsi="Effra" w:cs="Effra"/>
          <w:sz w:val="26"/>
          <w:szCs w:val="26"/>
        </w:rPr>
        <w:t>Shawn Tsuda, MD, FACS – Course Director</w:t>
      </w:r>
      <w:r>
        <w:rPr>
          <w:rFonts w:ascii="Effra" w:hAnsi="Effra" w:cs="Effra"/>
          <w:sz w:val="26"/>
          <w:szCs w:val="26"/>
        </w:rPr>
        <w:t>/Chair</w:t>
      </w:r>
      <w:r w:rsidRPr="007835E7">
        <w:rPr>
          <w:rFonts w:ascii="Effra" w:hAnsi="Effra" w:cs="Effra"/>
          <w:sz w:val="26"/>
          <w:szCs w:val="26"/>
        </w:rPr>
        <w:t xml:space="preserve">, </w:t>
      </w:r>
      <w:proofErr w:type="spellStart"/>
      <w:r w:rsidRPr="007835E7">
        <w:rPr>
          <w:rFonts w:ascii="Effra" w:hAnsi="Effra" w:cs="Effra"/>
          <w:sz w:val="26"/>
          <w:szCs w:val="26"/>
        </w:rPr>
        <w:t>Viticus</w:t>
      </w:r>
      <w:proofErr w:type="spellEnd"/>
      <w:r w:rsidRPr="007835E7">
        <w:rPr>
          <w:rFonts w:ascii="Effra" w:hAnsi="Effra" w:cs="Effra"/>
          <w:sz w:val="26"/>
          <w:szCs w:val="26"/>
        </w:rPr>
        <w:t xml:space="preserve"> Group</w:t>
      </w:r>
      <w:r>
        <w:rPr>
          <w:rFonts w:ascii="Effra" w:hAnsi="Effra" w:cs="Effra"/>
          <w:sz w:val="26"/>
          <w:szCs w:val="26"/>
        </w:rPr>
        <w:t xml:space="preserve"> Chief Medical Officer, and Content Reviewer </w:t>
      </w:r>
    </w:p>
    <w:p w14:paraId="4E9AEA47" w14:textId="77777777" w:rsidR="00DE45D5" w:rsidRPr="007835E7" w:rsidRDefault="00DE45D5" w:rsidP="00DE45D5">
      <w:pPr>
        <w:rPr>
          <w:rFonts w:ascii="Effra" w:hAnsi="Effra" w:cs="Effra"/>
          <w:sz w:val="26"/>
          <w:szCs w:val="26"/>
        </w:rPr>
      </w:pPr>
      <w:r w:rsidRPr="007835E7">
        <w:rPr>
          <w:rFonts w:ascii="Effra" w:hAnsi="Effra" w:cs="Effra"/>
          <w:sz w:val="26"/>
          <w:szCs w:val="26"/>
        </w:rPr>
        <w:t xml:space="preserve">Shawna Clawson, OTR/L, HMCC – Planner – </w:t>
      </w:r>
      <w:proofErr w:type="spellStart"/>
      <w:r w:rsidRPr="007835E7">
        <w:rPr>
          <w:rFonts w:ascii="Effra" w:hAnsi="Effra" w:cs="Effra"/>
          <w:sz w:val="26"/>
          <w:szCs w:val="26"/>
        </w:rPr>
        <w:t>Viticus</w:t>
      </w:r>
      <w:proofErr w:type="spellEnd"/>
      <w:r w:rsidRPr="007835E7">
        <w:rPr>
          <w:rFonts w:ascii="Effra" w:hAnsi="Effra" w:cs="Effra"/>
          <w:sz w:val="26"/>
          <w:szCs w:val="26"/>
        </w:rPr>
        <w:t xml:space="preserve"> Group Director of Human Health Program</w:t>
      </w:r>
    </w:p>
    <w:p w14:paraId="281A8182" w14:textId="77777777" w:rsidR="00DE45D5" w:rsidRPr="007835E7" w:rsidRDefault="00DE45D5" w:rsidP="00DE45D5">
      <w:pPr>
        <w:rPr>
          <w:rFonts w:ascii="Effra" w:hAnsi="Effra" w:cs="Effra"/>
          <w:sz w:val="26"/>
          <w:szCs w:val="26"/>
        </w:rPr>
      </w:pPr>
      <w:r>
        <w:rPr>
          <w:rFonts w:ascii="Effra" w:hAnsi="Effra" w:cs="Effra"/>
          <w:sz w:val="26"/>
          <w:szCs w:val="26"/>
        </w:rPr>
        <w:t xml:space="preserve">Gloria Flores-Madrigal, MPH </w:t>
      </w:r>
      <w:r w:rsidRPr="007835E7">
        <w:rPr>
          <w:rFonts w:ascii="Effra" w:hAnsi="Effra" w:cs="Effra"/>
          <w:sz w:val="26"/>
          <w:szCs w:val="26"/>
        </w:rPr>
        <w:t xml:space="preserve">– Planner – </w:t>
      </w:r>
      <w:proofErr w:type="spellStart"/>
      <w:r w:rsidRPr="007835E7">
        <w:rPr>
          <w:rFonts w:ascii="Effra" w:hAnsi="Effra" w:cs="Effra"/>
          <w:sz w:val="26"/>
          <w:szCs w:val="26"/>
        </w:rPr>
        <w:t>Viticus</w:t>
      </w:r>
      <w:proofErr w:type="spellEnd"/>
      <w:r w:rsidRPr="007835E7">
        <w:rPr>
          <w:rFonts w:ascii="Effra" w:hAnsi="Effra" w:cs="Effra"/>
          <w:sz w:val="26"/>
          <w:szCs w:val="26"/>
        </w:rPr>
        <w:t xml:space="preserve"> Group </w:t>
      </w:r>
      <w:r>
        <w:rPr>
          <w:rFonts w:ascii="Effra" w:hAnsi="Effra" w:cs="Effra"/>
          <w:sz w:val="26"/>
          <w:szCs w:val="26"/>
        </w:rPr>
        <w:t>Human Health Administrative Assistant</w:t>
      </w:r>
    </w:p>
    <w:p w14:paraId="1BE7184B" w14:textId="77777777" w:rsidR="00DE45D5" w:rsidRPr="007835E7" w:rsidRDefault="00DE45D5" w:rsidP="00DE45D5">
      <w:pPr>
        <w:rPr>
          <w:rFonts w:ascii="Effra" w:hAnsi="Effra" w:cs="Effra"/>
          <w:sz w:val="26"/>
          <w:szCs w:val="26"/>
        </w:rPr>
      </w:pPr>
      <w:r w:rsidRPr="007835E7">
        <w:rPr>
          <w:rFonts w:ascii="Effra" w:hAnsi="Effra" w:cs="Effra"/>
          <w:sz w:val="26"/>
          <w:szCs w:val="26"/>
        </w:rPr>
        <w:t xml:space="preserve">Aubrey Arreola, CMP, HMCC – Planner – </w:t>
      </w:r>
      <w:proofErr w:type="spellStart"/>
      <w:r>
        <w:rPr>
          <w:rFonts w:ascii="Effra" w:hAnsi="Effra" w:cs="Effra"/>
          <w:sz w:val="26"/>
          <w:szCs w:val="26"/>
        </w:rPr>
        <w:t>Viticus</w:t>
      </w:r>
      <w:proofErr w:type="spellEnd"/>
      <w:r>
        <w:rPr>
          <w:rFonts w:ascii="Effra" w:hAnsi="Effra" w:cs="Effra"/>
          <w:sz w:val="26"/>
          <w:szCs w:val="26"/>
        </w:rPr>
        <w:t xml:space="preserve"> Group Chief Operations Officer </w:t>
      </w:r>
    </w:p>
    <w:p w14:paraId="0B9BB457" w14:textId="77777777" w:rsidR="00DE45D5" w:rsidRPr="007835E7" w:rsidRDefault="00DE45D5" w:rsidP="00DE45D5">
      <w:pPr>
        <w:rPr>
          <w:rFonts w:ascii="Effra" w:hAnsi="Effra" w:cs="Effra"/>
          <w:sz w:val="26"/>
          <w:szCs w:val="26"/>
        </w:rPr>
      </w:pPr>
      <w:r w:rsidRPr="007835E7">
        <w:rPr>
          <w:rFonts w:ascii="Effra" w:hAnsi="Effra" w:cs="Effra"/>
          <w:sz w:val="26"/>
          <w:szCs w:val="26"/>
        </w:rPr>
        <w:t xml:space="preserve">Paula Deal – Planner – </w:t>
      </w:r>
      <w:proofErr w:type="spellStart"/>
      <w:r w:rsidRPr="007835E7">
        <w:rPr>
          <w:rFonts w:ascii="Effra" w:hAnsi="Effra" w:cs="Effra"/>
          <w:sz w:val="26"/>
          <w:szCs w:val="26"/>
        </w:rPr>
        <w:t>Viticus</w:t>
      </w:r>
      <w:proofErr w:type="spellEnd"/>
      <w:r w:rsidRPr="007835E7">
        <w:rPr>
          <w:rFonts w:ascii="Effra" w:hAnsi="Effra" w:cs="Effra"/>
          <w:sz w:val="26"/>
          <w:szCs w:val="26"/>
        </w:rPr>
        <w:t xml:space="preserve"> Group </w:t>
      </w:r>
      <w:r>
        <w:rPr>
          <w:rFonts w:ascii="Effra" w:hAnsi="Effra" w:cs="Effra"/>
          <w:sz w:val="26"/>
          <w:szCs w:val="26"/>
        </w:rPr>
        <w:t xml:space="preserve">Administration Manager </w:t>
      </w:r>
    </w:p>
    <w:p w14:paraId="6F621ED5" w14:textId="77777777" w:rsidR="00DE45D5" w:rsidRDefault="00DE45D5" w:rsidP="00DE45D5">
      <w:pPr>
        <w:rPr>
          <w:rFonts w:ascii="Effra" w:hAnsi="Effra" w:cs="Effra"/>
          <w:sz w:val="32"/>
          <w:szCs w:val="32"/>
        </w:rPr>
      </w:pPr>
      <w:r>
        <w:rPr>
          <w:rFonts w:ascii="Effra" w:hAnsi="Effra" w:cs="Effra"/>
          <w:sz w:val="32"/>
          <w:szCs w:val="32"/>
        </w:rPr>
        <w:br w:type="page"/>
      </w:r>
    </w:p>
    <w:p w14:paraId="2245B82F" w14:textId="77777777" w:rsidR="00DE45D5" w:rsidRPr="004E2A0B" w:rsidRDefault="00DE45D5" w:rsidP="00DE45D5">
      <w:pPr>
        <w:rPr>
          <w:rFonts w:ascii="Effra" w:hAnsi="Effra" w:cs="Effra"/>
          <w:b/>
          <w:sz w:val="36"/>
          <w:szCs w:val="36"/>
          <w:u w:val="single"/>
        </w:rPr>
      </w:pPr>
      <w:r w:rsidRPr="004E2A0B">
        <w:rPr>
          <w:rFonts w:ascii="Effra" w:hAnsi="Effra" w:cs="Effra"/>
          <w:b/>
          <w:sz w:val="36"/>
          <w:szCs w:val="36"/>
          <w:u w:val="single"/>
        </w:rPr>
        <w:lastRenderedPageBreak/>
        <w:t>Disclosure Policy Statement</w:t>
      </w:r>
    </w:p>
    <w:p w14:paraId="67B79EA4" w14:textId="77777777" w:rsidR="00DE45D5" w:rsidRDefault="00DE45D5" w:rsidP="00DE45D5">
      <w:pPr>
        <w:rPr>
          <w:rFonts w:ascii="Effra" w:hAnsi="Effra" w:cs="Effra"/>
          <w:iCs/>
          <w:sz w:val="26"/>
          <w:szCs w:val="26"/>
        </w:rPr>
      </w:pPr>
      <w:bookmarkStart w:id="1" w:name="_Hlk8384125"/>
      <w:bookmarkStart w:id="2" w:name="_Hlk8384411"/>
      <w:proofErr w:type="spellStart"/>
      <w:r w:rsidRPr="006F69D6">
        <w:rPr>
          <w:rFonts w:ascii="Effra" w:hAnsi="Effra" w:cs="Effra"/>
          <w:iCs/>
          <w:sz w:val="26"/>
          <w:szCs w:val="26"/>
        </w:rPr>
        <w:t>Viticus</w:t>
      </w:r>
      <w:proofErr w:type="spellEnd"/>
      <w:r w:rsidRPr="006F69D6">
        <w:rPr>
          <w:rFonts w:ascii="Effra" w:hAnsi="Effra" w:cs="Effra"/>
          <w:iCs/>
          <w:sz w:val="26"/>
          <w:szCs w:val="26"/>
        </w:rPr>
        <w:t xml:space="preserve"> Group adheres to the policies and guidelines, including the Standards for Integrity and Independence in Accredited CE, set forth to providers by the Accreditation Council for Continuing Medical Education (ACCME) and all other professional organizations, as applicable, stating those activities where continuing education credits are awarded must be balanced, independent, objective, and scientifically rigorous. All persons in a position to control the content of an accredited continuing education program provided by </w:t>
      </w:r>
      <w:proofErr w:type="spellStart"/>
      <w:r w:rsidRPr="006F69D6">
        <w:rPr>
          <w:rFonts w:ascii="Effra" w:hAnsi="Effra" w:cs="Effra"/>
          <w:iCs/>
          <w:sz w:val="26"/>
          <w:szCs w:val="26"/>
        </w:rPr>
        <w:t>Viticus</w:t>
      </w:r>
      <w:proofErr w:type="spellEnd"/>
      <w:r w:rsidRPr="006F69D6">
        <w:rPr>
          <w:rFonts w:ascii="Effra" w:hAnsi="Effra" w:cs="Effra"/>
          <w:iCs/>
          <w:sz w:val="26"/>
          <w:szCs w:val="26"/>
        </w:rPr>
        <w:t xml:space="preserve"> Group are required to disclose all financial relationships with any ineligible company within the past </w:t>
      </w:r>
      <w:proofErr w:type="gramStart"/>
      <w:r w:rsidRPr="006F69D6">
        <w:rPr>
          <w:rFonts w:ascii="Effra" w:hAnsi="Effra" w:cs="Effra"/>
          <w:iCs/>
          <w:sz w:val="26"/>
          <w:szCs w:val="26"/>
        </w:rPr>
        <w:t>24-months</w:t>
      </w:r>
      <w:proofErr w:type="gramEnd"/>
      <w:r w:rsidRPr="006F69D6">
        <w:rPr>
          <w:rFonts w:ascii="Effra" w:hAnsi="Effra" w:cs="Effra"/>
          <w:iCs/>
          <w:sz w:val="26"/>
          <w:szCs w:val="26"/>
        </w:rPr>
        <w:t xml:space="preserve"> to </w:t>
      </w:r>
      <w:proofErr w:type="spellStart"/>
      <w:r w:rsidRPr="006F69D6">
        <w:rPr>
          <w:rFonts w:ascii="Effra" w:hAnsi="Effra" w:cs="Effra"/>
          <w:iCs/>
          <w:sz w:val="26"/>
          <w:szCs w:val="26"/>
        </w:rPr>
        <w:t>Viticus</w:t>
      </w:r>
      <w:proofErr w:type="spellEnd"/>
      <w:r w:rsidRPr="006F69D6">
        <w:rPr>
          <w:rFonts w:ascii="Effra" w:hAnsi="Effra" w:cs="Effra"/>
          <w:iCs/>
          <w:sz w:val="26"/>
          <w:szCs w:val="26"/>
        </w:rPr>
        <w:t xml:space="preserve"> Group. All financial relationships reported are reviewed to identify relevance and then mitigated by </w:t>
      </w:r>
      <w:proofErr w:type="spellStart"/>
      <w:r w:rsidRPr="006F69D6">
        <w:rPr>
          <w:rFonts w:ascii="Effra" w:hAnsi="Effra" w:cs="Effra"/>
          <w:iCs/>
          <w:sz w:val="26"/>
          <w:szCs w:val="26"/>
        </w:rPr>
        <w:t>Viticus</w:t>
      </w:r>
      <w:proofErr w:type="spellEnd"/>
      <w:r w:rsidRPr="006F69D6">
        <w:rPr>
          <w:rFonts w:ascii="Effra" w:hAnsi="Effra" w:cs="Effra"/>
          <w:iCs/>
          <w:sz w:val="26"/>
          <w:szCs w:val="26"/>
        </w:rPr>
        <w:t xml:space="preserve"> Group in accordance with the Standards for Integrity and Independence in Accredited CE in advance of delivery of the activity to learners. The content of this activity was vetted by the </w:t>
      </w:r>
      <w:proofErr w:type="spellStart"/>
      <w:r w:rsidRPr="006F69D6">
        <w:rPr>
          <w:rFonts w:ascii="Effra" w:hAnsi="Effra" w:cs="Effra"/>
          <w:iCs/>
          <w:sz w:val="26"/>
          <w:szCs w:val="26"/>
        </w:rPr>
        <w:t>Viticus</w:t>
      </w:r>
      <w:proofErr w:type="spellEnd"/>
      <w:r w:rsidRPr="006F69D6">
        <w:rPr>
          <w:rFonts w:ascii="Effra" w:hAnsi="Effra" w:cs="Effra"/>
          <w:iCs/>
          <w:sz w:val="26"/>
          <w:szCs w:val="26"/>
        </w:rPr>
        <w:t xml:space="preserve"> Group to assure objectivity and that the activity is free of commercial bias.</w:t>
      </w:r>
      <w:bookmarkEnd w:id="1"/>
      <w:r w:rsidRPr="006F69D6">
        <w:rPr>
          <w:rFonts w:ascii="Effra" w:hAnsi="Effra" w:cs="Effra"/>
          <w:iCs/>
          <w:sz w:val="26"/>
          <w:szCs w:val="26"/>
        </w:rPr>
        <w:t xml:space="preserve">  All relevant financial relationships have been mitigated by </w:t>
      </w:r>
      <w:proofErr w:type="spellStart"/>
      <w:r w:rsidRPr="006F69D6">
        <w:rPr>
          <w:rFonts w:ascii="Effra" w:hAnsi="Effra" w:cs="Effra"/>
          <w:iCs/>
          <w:sz w:val="26"/>
          <w:szCs w:val="26"/>
        </w:rPr>
        <w:t>Viticus</w:t>
      </w:r>
      <w:proofErr w:type="spellEnd"/>
      <w:r w:rsidRPr="006F69D6">
        <w:rPr>
          <w:rFonts w:ascii="Effra" w:hAnsi="Effra" w:cs="Effra"/>
          <w:iCs/>
          <w:sz w:val="26"/>
          <w:szCs w:val="26"/>
        </w:rPr>
        <w:t xml:space="preserve"> Group.</w:t>
      </w:r>
    </w:p>
    <w:p w14:paraId="0A4DE2EE" w14:textId="77777777" w:rsidR="00DE45D5" w:rsidRDefault="00DE45D5" w:rsidP="00DE45D5">
      <w:pPr>
        <w:rPr>
          <w:rFonts w:ascii="Effra" w:hAnsi="Effra" w:cs="Effra"/>
          <w:iCs/>
          <w:sz w:val="26"/>
          <w:szCs w:val="26"/>
        </w:rPr>
      </w:pPr>
    </w:p>
    <w:p w14:paraId="690786C5" w14:textId="77777777" w:rsidR="00DE45D5" w:rsidRPr="006F69D6" w:rsidRDefault="00DE45D5" w:rsidP="00DE45D5">
      <w:pPr>
        <w:rPr>
          <w:rFonts w:ascii="Effra" w:hAnsi="Effra" w:cs="Effra"/>
          <w:iCs/>
          <w:sz w:val="26"/>
          <w:szCs w:val="26"/>
        </w:rPr>
      </w:pPr>
    </w:p>
    <w:bookmarkEnd w:id="2"/>
    <w:p w14:paraId="60CA2A40" w14:textId="77777777" w:rsidR="00DE45D5" w:rsidRPr="005645BA" w:rsidRDefault="00DE45D5" w:rsidP="00DE45D5">
      <w:pPr>
        <w:rPr>
          <w:rFonts w:ascii="Effra" w:hAnsi="Effra" w:cs="Effra"/>
          <w:b/>
          <w:iCs/>
          <w:sz w:val="36"/>
          <w:szCs w:val="36"/>
          <w:u w:val="single"/>
        </w:rPr>
      </w:pPr>
      <w:r w:rsidRPr="001A7A8F">
        <w:rPr>
          <w:rFonts w:ascii="Effra" w:hAnsi="Effra" w:cs="Effra"/>
          <w:b/>
          <w:iCs/>
          <w:sz w:val="36"/>
          <w:szCs w:val="36"/>
          <w:u w:val="single"/>
        </w:rPr>
        <w:t>Disclosure</w:t>
      </w:r>
      <w:r w:rsidRPr="00F643FA">
        <w:rPr>
          <w:rFonts w:ascii="Effra" w:hAnsi="Effra" w:cs="Effra"/>
          <w:b/>
          <w:iCs/>
          <w:sz w:val="36"/>
          <w:szCs w:val="36"/>
          <w:u w:val="single"/>
        </w:rPr>
        <w:t>s</w:t>
      </w:r>
    </w:p>
    <w:p w14:paraId="46C3CEAA" w14:textId="77777777" w:rsidR="00DE45D5" w:rsidRDefault="00DE45D5" w:rsidP="00DE45D5">
      <w:pPr>
        <w:rPr>
          <w:rFonts w:ascii="Effra" w:hAnsi="Effra" w:cs="Effra"/>
          <w:iCs/>
          <w:sz w:val="26"/>
          <w:szCs w:val="26"/>
        </w:rPr>
      </w:pPr>
      <w:bookmarkStart w:id="3" w:name="_Hlk8383812"/>
      <w:r w:rsidRPr="006F69D6">
        <w:rPr>
          <w:rFonts w:ascii="Effra" w:hAnsi="Effra" w:cs="Effra"/>
          <w:iCs/>
          <w:sz w:val="26"/>
          <w:szCs w:val="26"/>
        </w:rPr>
        <w:t>The planner</w:t>
      </w:r>
      <w:r>
        <w:rPr>
          <w:rFonts w:ascii="Effra" w:hAnsi="Effra" w:cs="Effra"/>
          <w:iCs/>
          <w:sz w:val="26"/>
          <w:szCs w:val="26"/>
        </w:rPr>
        <w:t xml:space="preserve">s, course chairs, </w:t>
      </w:r>
      <w:r w:rsidRPr="006F69D6">
        <w:rPr>
          <w:rFonts w:ascii="Effra" w:hAnsi="Effra" w:cs="Effra"/>
          <w:iCs/>
          <w:sz w:val="26"/>
          <w:szCs w:val="26"/>
        </w:rPr>
        <w:t>managers</w:t>
      </w:r>
      <w:r>
        <w:rPr>
          <w:rFonts w:ascii="Effra" w:hAnsi="Effra" w:cs="Effra"/>
          <w:iCs/>
          <w:sz w:val="26"/>
          <w:szCs w:val="26"/>
        </w:rPr>
        <w:t>, and content reviewers</w:t>
      </w:r>
      <w:r w:rsidRPr="006F69D6">
        <w:rPr>
          <w:rFonts w:ascii="Effra" w:hAnsi="Effra" w:cs="Effra"/>
          <w:iCs/>
          <w:sz w:val="26"/>
          <w:szCs w:val="26"/>
        </w:rPr>
        <w:t xml:space="preserve"> have no relevant financial relationships with ineligible companies to disclose.</w:t>
      </w:r>
      <w:bookmarkEnd w:id="3"/>
      <w:r>
        <w:rPr>
          <w:rFonts w:ascii="Effra" w:hAnsi="Effra" w:cs="Effra"/>
          <w:iCs/>
          <w:sz w:val="26"/>
          <w:szCs w:val="26"/>
        </w:rPr>
        <w:t xml:space="preserve"> </w:t>
      </w:r>
    </w:p>
    <w:p w14:paraId="60DC1B6F" w14:textId="77777777" w:rsidR="00DE45D5" w:rsidRPr="007835E7" w:rsidRDefault="00DE45D5" w:rsidP="00DE45D5">
      <w:pPr>
        <w:rPr>
          <w:rFonts w:ascii="Effra" w:hAnsi="Effra" w:cs="Effra"/>
          <w:sz w:val="26"/>
          <w:szCs w:val="26"/>
        </w:rPr>
      </w:pPr>
      <w:r w:rsidRPr="007835E7">
        <w:rPr>
          <w:rFonts w:ascii="Effra" w:hAnsi="Effra" w:cs="Effra"/>
          <w:sz w:val="26"/>
          <w:szCs w:val="26"/>
        </w:rPr>
        <w:t>Shawn Tsuda, MD, FACS – Course Director</w:t>
      </w:r>
      <w:r>
        <w:rPr>
          <w:rFonts w:ascii="Effra" w:hAnsi="Effra" w:cs="Effra"/>
          <w:sz w:val="26"/>
          <w:szCs w:val="26"/>
        </w:rPr>
        <w:t>/Chair</w:t>
      </w:r>
      <w:r w:rsidRPr="007835E7">
        <w:rPr>
          <w:rFonts w:ascii="Effra" w:hAnsi="Effra" w:cs="Effra"/>
          <w:sz w:val="26"/>
          <w:szCs w:val="26"/>
        </w:rPr>
        <w:t xml:space="preserve">, </w:t>
      </w:r>
      <w:proofErr w:type="spellStart"/>
      <w:r w:rsidRPr="007835E7">
        <w:rPr>
          <w:rFonts w:ascii="Effra" w:hAnsi="Effra" w:cs="Effra"/>
          <w:sz w:val="26"/>
          <w:szCs w:val="26"/>
        </w:rPr>
        <w:t>Viticus</w:t>
      </w:r>
      <w:proofErr w:type="spellEnd"/>
      <w:r w:rsidRPr="007835E7">
        <w:rPr>
          <w:rFonts w:ascii="Effra" w:hAnsi="Effra" w:cs="Effra"/>
          <w:sz w:val="26"/>
          <w:szCs w:val="26"/>
        </w:rPr>
        <w:t xml:space="preserve"> Group</w:t>
      </w:r>
      <w:r>
        <w:rPr>
          <w:rFonts w:ascii="Effra" w:hAnsi="Effra" w:cs="Effra"/>
          <w:sz w:val="26"/>
          <w:szCs w:val="26"/>
        </w:rPr>
        <w:t xml:space="preserve"> Chief Medical Officer, and Content Reviewer </w:t>
      </w:r>
    </w:p>
    <w:p w14:paraId="77155CB2" w14:textId="77777777" w:rsidR="00DE45D5" w:rsidRPr="007835E7" w:rsidRDefault="00DE45D5" w:rsidP="00DE45D5">
      <w:pPr>
        <w:rPr>
          <w:rFonts w:ascii="Effra" w:hAnsi="Effra" w:cs="Effra"/>
          <w:sz w:val="26"/>
          <w:szCs w:val="26"/>
        </w:rPr>
      </w:pPr>
      <w:r w:rsidRPr="007835E7">
        <w:rPr>
          <w:rFonts w:ascii="Effra" w:hAnsi="Effra" w:cs="Effra"/>
          <w:sz w:val="26"/>
          <w:szCs w:val="26"/>
        </w:rPr>
        <w:t xml:space="preserve">Shawna Clawson, OTR/L, HMCC – Planner – </w:t>
      </w:r>
      <w:proofErr w:type="spellStart"/>
      <w:r w:rsidRPr="007835E7">
        <w:rPr>
          <w:rFonts w:ascii="Effra" w:hAnsi="Effra" w:cs="Effra"/>
          <w:sz w:val="26"/>
          <w:szCs w:val="26"/>
        </w:rPr>
        <w:t>Viticus</w:t>
      </w:r>
      <w:proofErr w:type="spellEnd"/>
      <w:r w:rsidRPr="007835E7">
        <w:rPr>
          <w:rFonts w:ascii="Effra" w:hAnsi="Effra" w:cs="Effra"/>
          <w:sz w:val="26"/>
          <w:szCs w:val="26"/>
        </w:rPr>
        <w:t xml:space="preserve"> Group Director of Human Health Program</w:t>
      </w:r>
    </w:p>
    <w:p w14:paraId="0991FDAC" w14:textId="77777777" w:rsidR="00DE45D5" w:rsidRPr="007835E7" w:rsidRDefault="00DE45D5" w:rsidP="00DE45D5">
      <w:pPr>
        <w:rPr>
          <w:rFonts w:ascii="Effra" w:hAnsi="Effra" w:cs="Effra"/>
          <w:sz w:val="26"/>
          <w:szCs w:val="26"/>
        </w:rPr>
      </w:pPr>
      <w:r>
        <w:rPr>
          <w:rFonts w:ascii="Effra" w:hAnsi="Effra" w:cs="Effra"/>
          <w:sz w:val="26"/>
          <w:szCs w:val="26"/>
        </w:rPr>
        <w:t xml:space="preserve">Gloria Flores-Madrigal, MPH </w:t>
      </w:r>
      <w:r w:rsidRPr="007835E7">
        <w:rPr>
          <w:rFonts w:ascii="Effra" w:hAnsi="Effra" w:cs="Effra"/>
          <w:sz w:val="26"/>
          <w:szCs w:val="26"/>
        </w:rPr>
        <w:t xml:space="preserve">– Planner – </w:t>
      </w:r>
      <w:proofErr w:type="spellStart"/>
      <w:r w:rsidRPr="007835E7">
        <w:rPr>
          <w:rFonts w:ascii="Effra" w:hAnsi="Effra" w:cs="Effra"/>
          <w:sz w:val="26"/>
          <w:szCs w:val="26"/>
        </w:rPr>
        <w:t>Viticus</w:t>
      </w:r>
      <w:proofErr w:type="spellEnd"/>
      <w:r w:rsidRPr="007835E7">
        <w:rPr>
          <w:rFonts w:ascii="Effra" w:hAnsi="Effra" w:cs="Effra"/>
          <w:sz w:val="26"/>
          <w:szCs w:val="26"/>
        </w:rPr>
        <w:t xml:space="preserve"> Group </w:t>
      </w:r>
      <w:r>
        <w:rPr>
          <w:rFonts w:ascii="Effra" w:hAnsi="Effra" w:cs="Effra"/>
          <w:sz w:val="26"/>
          <w:szCs w:val="26"/>
        </w:rPr>
        <w:t>Human Health Administrative Assistant</w:t>
      </w:r>
    </w:p>
    <w:p w14:paraId="40BD5D44" w14:textId="77777777" w:rsidR="00DE45D5" w:rsidRPr="007835E7" w:rsidRDefault="00DE45D5" w:rsidP="00DE45D5">
      <w:pPr>
        <w:rPr>
          <w:rFonts w:ascii="Effra" w:hAnsi="Effra" w:cs="Effra"/>
          <w:sz w:val="26"/>
          <w:szCs w:val="26"/>
        </w:rPr>
      </w:pPr>
      <w:r w:rsidRPr="007835E7">
        <w:rPr>
          <w:rFonts w:ascii="Effra" w:hAnsi="Effra" w:cs="Effra"/>
          <w:sz w:val="26"/>
          <w:szCs w:val="26"/>
        </w:rPr>
        <w:t xml:space="preserve">Aubrey Arreola, CMP, HMCC – Planner – </w:t>
      </w:r>
      <w:proofErr w:type="spellStart"/>
      <w:r>
        <w:rPr>
          <w:rFonts w:ascii="Effra" w:hAnsi="Effra" w:cs="Effra"/>
          <w:sz w:val="26"/>
          <w:szCs w:val="26"/>
        </w:rPr>
        <w:t>Viticus</w:t>
      </w:r>
      <w:proofErr w:type="spellEnd"/>
      <w:r>
        <w:rPr>
          <w:rFonts w:ascii="Effra" w:hAnsi="Effra" w:cs="Effra"/>
          <w:sz w:val="26"/>
          <w:szCs w:val="26"/>
        </w:rPr>
        <w:t xml:space="preserve"> Group Chief Operations Officer </w:t>
      </w:r>
    </w:p>
    <w:p w14:paraId="3BAFD2DE" w14:textId="77777777" w:rsidR="00DE45D5" w:rsidRPr="00C6322A" w:rsidRDefault="00DE45D5" w:rsidP="00DE45D5">
      <w:pPr>
        <w:rPr>
          <w:rFonts w:ascii="Effra" w:hAnsi="Effra" w:cs="Effra"/>
          <w:sz w:val="26"/>
          <w:szCs w:val="26"/>
        </w:rPr>
      </w:pPr>
      <w:r w:rsidRPr="007835E7">
        <w:rPr>
          <w:rFonts w:ascii="Effra" w:hAnsi="Effra" w:cs="Effra"/>
          <w:sz w:val="26"/>
          <w:szCs w:val="26"/>
        </w:rPr>
        <w:t xml:space="preserve">Paula Deal – Planner – </w:t>
      </w:r>
      <w:proofErr w:type="spellStart"/>
      <w:r w:rsidRPr="007835E7">
        <w:rPr>
          <w:rFonts w:ascii="Effra" w:hAnsi="Effra" w:cs="Effra"/>
          <w:sz w:val="26"/>
          <w:szCs w:val="26"/>
        </w:rPr>
        <w:t>Viticus</w:t>
      </w:r>
      <w:proofErr w:type="spellEnd"/>
      <w:r w:rsidRPr="007835E7">
        <w:rPr>
          <w:rFonts w:ascii="Effra" w:hAnsi="Effra" w:cs="Effra"/>
          <w:sz w:val="26"/>
          <w:szCs w:val="26"/>
        </w:rPr>
        <w:t xml:space="preserve"> Group </w:t>
      </w:r>
      <w:r>
        <w:rPr>
          <w:rFonts w:ascii="Effra" w:hAnsi="Effra" w:cs="Effra"/>
          <w:sz w:val="26"/>
          <w:szCs w:val="26"/>
        </w:rPr>
        <w:t xml:space="preserve">Administration Manager </w:t>
      </w:r>
    </w:p>
    <w:p w14:paraId="63396E54" w14:textId="77777777" w:rsidR="00DE45D5" w:rsidRDefault="00DE45D5" w:rsidP="00DE45D5">
      <w:pPr>
        <w:rPr>
          <w:rFonts w:ascii="Effra" w:hAnsi="Effra" w:cs="Effra"/>
          <w:sz w:val="26"/>
          <w:szCs w:val="26"/>
        </w:rPr>
      </w:pPr>
      <w:r>
        <w:rPr>
          <w:rFonts w:ascii="Effra" w:hAnsi="Effra" w:cs="Effra"/>
          <w:iCs/>
          <w:sz w:val="26"/>
          <w:szCs w:val="26"/>
        </w:rPr>
        <w:t>Troy Repuszka</w:t>
      </w:r>
      <w:r w:rsidRPr="006F69D6">
        <w:rPr>
          <w:rFonts w:ascii="Effra" w:hAnsi="Effra" w:cs="Effra"/>
          <w:iCs/>
          <w:sz w:val="26"/>
          <w:szCs w:val="26"/>
        </w:rPr>
        <w:t xml:space="preserve">, </w:t>
      </w:r>
      <w:r>
        <w:rPr>
          <w:rFonts w:ascii="Effra" w:hAnsi="Effra" w:cs="Effra"/>
          <w:iCs/>
          <w:sz w:val="26"/>
          <w:szCs w:val="26"/>
        </w:rPr>
        <w:t xml:space="preserve">MSN, RN, LNC </w:t>
      </w:r>
      <w:bookmarkStart w:id="4" w:name="_Hlk134001417"/>
      <w:r w:rsidRPr="007835E7">
        <w:rPr>
          <w:rFonts w:ascii="Effra" w:hAnsi="Effra" w:cs="Effra"/>
          <w:sz w:val="26"/>
          <w:szCs w:val="26"/>
        </w:rPr>
        <w:t>–</w:t>
      </w:r>
      <w:r>
        <w:rPr>
          <w:rFonts w:ascii="Effra" w:hAnsi="Effra" w:cs="Effra"/>
          <w:sz w:val="26"/>
          <w:szCs w:val="26"/>
        </w:rPr>
        <w:t xml:space="preserve"> </w:t>
      </w:r>
      <w:bookmarkEnd w:id="4"/>
      <w:r>
        <w:rPr>
          <w:rFonts w:ascii="Effra" w:hAnsi="Effra" w:cs="Effra"/>
          <w:sz w:val="26"/>
          <w:szCs w:val="26"/>
        </w:rPr>
        <w:t xml:space="preserve">Planner </w:t>
      </w:r>
      <w:r w:rsidRPr="007835E7">
        <w:rPr>
          <w:rFonts w:ascii="Effra" w:hAnsi="Effra" w:cs="Effra"/>
          <w:sz w:val="26"/>
          <w:szCs w:val="26"/>
        </w:rPr>
        <w:t>–</w:t>
      </w:r>
      <w:r>
        <w:rPr>
          <w:rFonts w:ascii="Effra" w:hAnsi="Effra" w:cs="Effra"/>
          <w:sz w:val="26"/>
          <w:szCs w:val="26"/>
        </w:rPr>
        <w:t xml:space="preserve"> Faculty </w:t>
      </w:r>
    </w:p>
    <w:p w14:paraId="2D4A8AFF" w14:textId="77777777" w:rsidR="00DE45D5" w:rsidRPr="006F69D6" w:rsidRDefault="00DE45D5" w:rsidP="00DE45D5">
      <w:pPr>
        <w:rPr>
          <w:rFonts w:ascii="Effra" w:hAnsi="Effra" w:cs="Effra"/>
          <w:iCs/>
          <w:sz w:val="26"/>
          <w:szCs w:val="26"/>
        </w:rPr>
      </w:pPr>
    </w:p>
    <w:p w14:paraId="1FC3237E" w14:textId="77777777" w:rsidR="00DE45D5" w:rsidRPr="006F69D6" w:rsidRDefault="00DE45D5" w:rsidP="00DE45D5">
      <w:pPr>
        <w:rPr>
          <w:rFonts w:ascii="Effra" w:hAnsi="Effra" w:cs="Effra"/>
          <w:iCs/>
          <w:sz w:val="26"/>
          <w:szCs w:val="26"/>
        </w:rPr>
      </w:pPr>
      <w:r w:rsidRPr="006F69D6">
        <w:rPr>
          <w:rFonts w:ascii="Effra" w:hAnsi="Effra" w:cs="Effra"/>
          <w:iCs/>
          <w:sz w:val="26"/>
          <w:szCs w:val="26"/>
        </w:rPr>
        <w:lastRenderedPageBreak/>
        <w:t xml:space="preserve">The </w:t>
      </w:r>
      <w:bookmarkStart w:id="5" w:name="_Hlk527646364"/>
      <w:r>
        <w:rPr>
          <w:rFonts w:ascii="Effra" w:hAnsi="Effra" w:cs="Effra"/>
          <w:iCs/>
          <w:sz w:val="26"/>
          <w:szCs w:val="26"/>
        </w:rPr>
        <w:t xml:space="preserve">following faculty have no </w:t>
      </w:r>
      <w:r w:rsidRPr="006F69D6">
        <w:rPr>
          <w:rFonts w:ascii="Effra" w:hAnsi="Effra" w:cs="Effra"/>
          <w:iCs/>
          <w:sz w:val="26"/>
          <w:szCs w:val="26"/>
        </w:rPr>
        <w:t xml:space="preserve">relevant financial relationships </w:t>
      </w:r>
      <w:bookmarkEnd w:id="5"/>
      <w:r>
        <w:rPr>
          <w:rFonts w:ascii="Effra" w:hAnsi="Effra" w:cs="Effra"/>
          <w:iCs/>
          <w:sz w:val="26"/>
          <w:szCs w:val="26"/>
        </w:rPr>
        <w:t xml:space="preserve">to disclose. </w:t>
      </w:r>
    </w:p>
    <w:p w14:paraId="1C355DDC" w14:textId="77777777" w:rsidR="00DE45D5" w:rsidRPr="006F69D6" w:rsidRDefault="00DE45D5" w:rsidP="00DE45D5">
      <w:pPr>
        <w:rPr>
          <w:rFonts w:ascii="Effra" w:hAnsi="Effra" w:cs="Effra"/>
          <w:iCs/>
          <w:sz w:val="26"/>
          <w:szCs w:val="26"/>
        </w:rPr>
      </w:pPr>
      <w:r>
        <w:rPr>
          <w:rFonts w:ascii="Effra" w:hAnsi="Effra" w:cs="Effra"/>
          <w:iCs/>
          <w:sz w:val="26"/>
          <w:szCs w:val="26"/>
        </w:rPr>
        <w:t xml:space="preserve">Hilary Massey, MD - </w:t>
      </w:r>
      <w:r w:rsidRPr="006F69D6">
        <w:rPr>
          <w:rFonts w:ascii="Effra" w:hAnsi="Effra" w:cs="Effra"/>
          <w:iCs/>
          <w:sz w:val="26"/>
          <w:szCs w:val="26"/>
        </w:rPr>
        <w:t>h</w:t>
      </w:r>
      <w:r>
        <w:rPr>
          <w:rFonts w:ascii="Effra" w:hAnsi="Effra" w:cs="Effra"/>
          <w:iCs/>
          <w:sz w:val="26"/>
          <w:szCs w:val="26"/>
        </w:rPr>
        <w:t>as</w:t>
      </w:r>
      <w:r w:rsidRPr="006F69D6">
        <w:rPr>
          <w:rFonts w:ascii="Effra" w:hAnsi="Effra" w:cs="Effra"/>
          <w:iCs/>
          <w:sz w:val="26"/>
          <w:szCs w:val="26"/>
        </w:rPr>
        <w:t xml:space="preserve"> no relevant financial relationships with ineligible companies to disclose.</w:t>
      </w:r>
    </w:p>
    <w:p w14:paraId="465E8688" w14:textId="77777777" w:rsidR="00DE45D5" w:rsidRPr="006F69D6" w:rsidRDefault="00DE45D5" w:rsidP="00DE45D5">
      <w:pPr>
        <w:rPr>
          <w:rFonts w:ascii="Effra" w:hAnsi="Effra" w:cs="Effra"/>
          <w:iCs/>
          <w:sz w:val="26"/>
          <w:szCs w:val="26"/>
        </w:rPr>
      </w:pPr>
      <w:r>
        <w:rPr>
          <w:rFonts w:ascii="Effra" w:hAnsi="Effra" w:cs="Effra"/>
          <w:iCs/>
          <w:sz w:val="26"/>
          <w:szCs w:val="26"/>
        </w:rPr>
        <w:t>Troy Repuszka</w:t>
      </w:r>
      <w:r w:rsidRPr="006F69D6">
        <w:rPr>
          <w:rFonts w:ascii="Effra" w:hAnsi="Effra" w:cs="Effra"/>
          <w:iCs/>
          <w:sz w:val="26"/>
          <w:szCs w:val="26"/>
        </w:rPr>
        <w:t xml:space="preserve">, </w:t>
      </w:r>
      <w:bookmarkStart w:id="6" w:name="_Hlk8383963"/>
      <w:r>
        <w:rPr>
          <w:rFonts w:ascii="Effra" w:hAnsi="Effra" w:cs="Effra"/>
          <w:iCs/>
          <w:sz w:val="26"/>
          <w:szCs w:val="26"/>
        </w:rPr>
        <w:t>MSN, RN, LNC-</w:t>
      </w:r>
      <w:r w:rsidRPr="006F69D6">
        <w:rPr>
          <w:rFonts w:ascii="Effra" w:hAnsi="Effra" w:cs="Effra"/>
          <w:iCs/>
          <w:sz w:val="26"/>
          <w:szCs w:val="26"/>
        </w:rPr>
        <w:t>h</w:t>
      </w:r>
      <w:r>
        <w:rPr>
          <w:rFonts w:ascii="Effra" w:hAnsi="Effra" w:cs="Effra"/>
          <w:iCs/>
          <w:sz w:val="26"/>
          <w:szCs w:val="26"/>
        </w:rPr>
        <w:t>as</w:t>
      </w:r>
      <w:r w:rsidRPr="006F69D6">
        <w:rPr>
          <w:rFonts w:ascii="Effra" w:hAnsi="Effra" w:cs="Effra"/>
          <w:iCs/>
          <w:sz w:val="26"/>
          <w:szCs w:val="26"/>
        </w:rPr>
        <w:t xml:space="preserve"> no relevant financial relationships with ineligible companies to disclose.</w:t>
      </w:r>
    </w:p>
    <w:bookmarkEnd w:id="6"/>
    <w:p w14:paraId="335BDF6E" w14:textId="77777777" w:rsidR="00DE45D5" w:rsidRPr="006F69D6" w:rsidRDefault="00DE45D5" w:rsidP="00DE45D5">
      <w:pPr>
        <w:rPr>
          <w:rFonts w:ascii="Effra" w:hAnsi="Effra" w:cs="Effra"/>
          <w:iCs/>
          <w:sz w:val="26"/>
          <w:szCs w:val="26"/>
        </w:rPr>
      </w:pPr>
      <w:r>
        <w:rPr>
          <w:rFonts w:ascii="Effra" w:hAnsi="Effra" w:cs="Effra"/>
          <w:sz w:val="26"/>
          <w:szCs w:val="26"/>
        </w:rPr>
        <w:t xml:space="preserve">Matt Norvell, </w:t>
      </w:r>
      <w:proofErr w:type="spellStart"/>
      <w:r>
        <w:rPr>
          <w:rFonts w:ascii="Effra" w:hAnsi="Effra" w:cs="Effra"/>
          <w:sz w:val="26"/>
          <w:szCs w:val="26"/>
        </w:rPr>
        <w:t>DMin</w:t>
      </w:r>
      <w:proofErr w:type="spellEnd"/>
      <w:r>
        <w:rPr>
          <w:rFonts w:ascii="Effra" w:hAnsi="Effra" w:cs="Effra"/>
          <w:sz w:val="26"/>
          <w:szCs w:val="26"/>
        </w:rPr>
        <w:t xml:space="preserve">., M.S, B. C.C. </w:t>
      </w:r>
      <w:r>
        <w:rPr>
          <w:rFonts w:ascii="Effra" w:hAnsi="Effra" w:cs="Effra"/>
          <w:iCs/>
          <w:sz w:val="26"/>
          <w:szCs w:val="26"/>
        </w:rPr>
        <w:t xml:space="preserve">- </w:t>
      </w:r>
      <w:r w:rsidRPr="006F69D6">
        <w:rPr>
          <w:rFonts w:ascii="Effra" w:hAnsi="Effra" w:cs="Effra"/>
          <w:iCs/>
          <w:sz w:val="26"/>
          <w:szCs w:val="26"/>
        </w:rPr>
        <w:t>ha</w:t>
      </w:r>
      <w:r>
        <w:rPr>
          <w:rFonts w:ascii="Effra" w:hAnsi="Effra" w:cs="Effra"/>
          <w:iCs/>
          <w:sz w:val="26"/>
          <w:szCs w:val="26"/>
        </w:rPr>
        <w:t>s</w:t>
      </w:r>
      <w:r w:rsidRPr="006F69D6">
        <w:rPr>
          <w:rFonts w:ascii="Effra" w:hAnsi="Effra" w:cs="Effra"/>
          <w:iCs/>
          <w:sz w:val="26"/>
          <w:szCs w:val="26"/>
        </w:rPr>
        <w:t xml:space="preserve"> no relevant financial relationships with ineligible companies to disclose.</w:t>
      </w:r>
    </w:p>
    <w:p w14:paraId="66975880" w14:textId="77777777" w:rsidR="00DE45D5" w:rsidRDefault="00DE45D5" w:rsidP="00DE45D5">
      <w:pPr>
        <w:rPr>
          <w:rFonts w:ascii="Effra" w:hAnsi="Effra" w:cs="Effra"/>
          <w:sz w:val="36"/>
          <w:szCs w:val="36"/>
        </w:rPr>
      </w:pPr>
    </w:p>
    <w:p w14:paraId="572B02A9" w14:textId="77777777" w:rsidR="00DE45D5" w:rsidRDefault="00DE45D5" w:rsidP="00DE45D5"/>
    <w:p w14:paraId="5224B8E7" w14:textId="77777777" w:rsidR="00927A8E" w:rsidRDefault="00927A8E"/>
    <w:sectPr w:rsidR="00927A8E" w:rsidSect="00DD5277">
      <w:headerReference w:type="default" r:id="rId7"/>
      <w:pgSz w:w="12240" w:h="15840"/>
      <w:pgMar w:top="28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070F" w14:textId="77777777" w:rsidR="00A114BA" w:rsidRDefault="00A114BA">
      <w:pPr>
        <w:spacing w:after="0" w:line="240" w:lineRule="auto"/>
      </w:pPr>
      <w:r>
        <w:separator/>
      </w:r>
    </w:p>
  </w:endnote>
  <w:endnote w:type="continuationSeparator" w:id="0">
    <w:p w14:paraId="73E43194" w14:textId="77777777" w:rsidR="00A114BA" w:rsidRDefault="00A1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ffra">
    <w:panose1 w:val="02000506080000020004"/>
    <w:charset w:val="00"/>
    <w:family w:val="auto"/>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16CD" w14:textId="77777777" w:rsidR="00A114BA" w:rsidRDefault="00A114BA">
      <w:pPr>
        <w:spacing w:after="0" w:line="240" w:lineRule="auto"/>
      </w:pPr>
      <w:r>
        <w:separator/>
      </w:r>
    </w:p>
  </w:footnote>
  <w:footnote w:type="continuationSeparator" w:id="0">
    <w:p w14:paraId="18499150" w14:textId="77777777" w:rsidR="00A114BA" w:rsidRDefault="00A11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F745" w14:textId="77777777" w:rsidR="00A114BA" w:rsidRDefault="00A114BA">
    <w:pPr>
      <w:pStyle w:val="Header"/>
    </w:pPr>
    <w:r>
      <w:rPr>
        <w:noProof/>
      </w:rPr>
      <w:drawing>
        <wp:anchor distT="0" distB="0" distL="114300" distR="114300" simplePos="0" relativeHeight="251659264" behindDoc="1" locked="1" layoutInCell="1" allowOverlap="1" wp14:anchorId="643AEB95" wp14:editId="436CAB2A">
          <wp:simplePos x="0" y="0"/>
          <wp:positionH relativeFrom="column">
            <wp:posOffset>-451224</wp:posOffset>
          </wp:positionH>
          <wp:positionV relativeFrom="paragraph">
            <wp:posOffset>-463177</wp:posOffset>
          </wp:positionV>
          <wp:extent cx="7772400" cy="10067544"/>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etterhead.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7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90456"/>
    <w:multiLevelType w:val="hybridMultilevel"/>
    <w:tmpl w:val="FD985D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867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D5"/>
    <w:rsid w:val="004A1A1A"/>
    <w:rsid w:val="004E3793"/>
    <w:rsid w:val="005C5D55"/>
    <w:rsid w:val="008C586D"/>
    <w:rsid w:val="00927A8E"/>
    <w:rsid w:val="00A114BA"/>
    <w:rsid w:val="00B730B4"/>
    <w:rsid w:val="00BA6FCD"/>
    <w:rsid w:val="00DE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9F6C"/>
  <w15:chartTrackingRefBased/>
  <w15:docId w15:val="{E6191561-5A64-464A-B5DB-7976F2C8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5D5"/>
    <w:pPr>
      <w:spacing w:after="200" w:line="252" w:lineRule="auto"/>
    </w:pPr>
    <w:rPr>
      <w:rFonts w:asciiTheme="majorHAnsi" w:eastAsiaTheme="majorEastAsia" w:hAnsiTheme="majorHAnsi" w:cstheme="maj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5D5"/>
    <w:pPr>
      <w:tabs>
        <w:tab w:val="center" w:pos="4680"/>
        <w:tab w:val="right" w:pos="9360"/>
      </w:tabs>
    </w:pPr>
  </w:style>
  <w:style w:type="character" w:customStyle="1" w:styleId="HeaderChar">
    <w:name w:val="Header Char"/>
    <w:basedOn w:val="DefaultParagraphFont"/>
    <w:link w:val="Header"/>
    <w:uiPriority w:val="99"/>
    <w:rsid w:val="00DE45D5"/>
    <w:rPr>
      <w:rFonts w:asciiTheme="majorHAnsi" w:eastAsiaTheme="majorEastAsia" w:hAnsiTheme="majorHAnsi" w:cstheme="majorBidi"/>
      <w:kern w:val="0"/>
      <w14:ligatures w14:val="none"/>
    </w:rPr>
  </w:style>
  <w:style w:type="paragraph" w:styleId="ListParagraph">
    <w:name w:val="List Paragraph"/>
    <w:basedOn w:val="Normal"/>
    <w:uiPriority w:val="34"/>
    <w:qFormat/>
    <w:rsid w:val="00DE4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Flores-Madrigal</dc:creator>
  <cp:keywords/>
  <dc:description/>
  <cp:lastModifiedBy>Gloria Flores-Madrigal</cp:lastModifiedBy>
  <cp:revision>2</cp:revision>
  <dcterms:created xsi:type="dcterms:W3CDTF">2023-09-14T21:50:00Z</dcterms:created>
  <dcterms:modified xsi:type="dcterms:W3CDTF">2023-09-14T21:50:00Z</dcterms:modified>
</cp:coreProperties>
</file>